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5ee1e73d1430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1782-S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CALD</w:t>
        </w:r>
      </w:r>
      <w:r>
        <w:rPr>
          <w:b/>
        </w:rPr>
        <w:t xml:space="preserve"> </w:t>
        <w:r>
          <w:rPr/>
          <w:t xml:space="preserve">H2693.2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1782</w:t>
      </w:r>
      <w:r>
        <w:t xml:space="preserve"> -</w:t>
      </w:r>
      <w:r>
        <w:t xml:space="preserve"> </w:t>
        <w:t xml:space="preserve">H AMD TO H AMD (H-2689.4/22)</w:t>
      </w:r>
      <w:r>
        <w:t xml:space="preserve"> </w:t>
      </w:r>
      <w:r>
        <w:rPr>
          <w:b/>
        </w:rPr>
        <w:t xml:space="preserve">1039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Caldier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after line 13,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"(9) A city that is currently meeting its growth targets as determined by a regional transportation planning organization or the office of financial management is exempt from the provisions of this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cities that are currently meeting growth targets as determined by a regional transportation planning organization or the Office of Financial Management from the middle housing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1bd01d9e94b35" /></Relationships>
</file>