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2ab0b6cff419c" /></Relationships>
</file>

<file path=word/document.xml><?xml version="1.0" encoding="utf-8"?>
<w:document xmlns:w="http://schemas.openxmlformats.org/wordprocessingml/2006/main">
  <w:body>
    <w:p>
      <w:r>
        <w:rPr>
          <w:b/>
        </w:rPr>
        <w:r>
          <w:rPr/>
          <w:t xml:space="preserve">1799-S2</w:t>
        </w:r>
      </w:r>
      <w:r>
        <w:rPr>
          <w:b/>
        </w:rPr>
        <w:t xml:space="preserve"> </w:t>
        <w:t xml:space="preserve">AMH</w:t>
      </w:r>
      <w:r>
        <w:rPr>
          <w:b/>
        </w:rPr>
        <w:t xml:space="preserve"> </w:t>
        <w:r>
          <w:rPr/>
          <w:t xml:space="preserve">FITZ</w:t>
        </w:r>
      </w:r>
      <w:r>
        <w:rPr>
          <w:b/>
        </w:rPr>
        <w:t xml:space="preserve"> </w:t>
        <w:r>
          <w:rPr/>
          <w:t xml:space="preserve">H2667.2</w:t>
        </w:r>
      </w:r>
      <w:r>
        <w:rPr>
          <w:b/>
        </w:rPr>
        <w:t xml:space="preserve"> - NOT FOR FLOOR USE</w:t>
      </w:r>
    </w:p>
    <w:p>
      <w:pPr>
        <w:ind w:left="0" w:right="0" w:firstLine="576"/>
      </w:pPr>
    </w:p>
    <w:p>
      <w:pPr>
        <w:spacing w:before="480" w:after="0" w:line="408" w:lineRule="exact"/>
      </w:pPr>
      <w:r>
        <w:rPr>
          <w:b/>
          <w:u w:val="single"/>
        </w:rPr>
        <w:t xml:space="preserve">2SHB 1799</w:t>
      </w:r>
      <w:r>
        <w:t xml:space="preserve"> -</w:t>
      </w:r>
      <w:r>
        <w:t xml:space="preserve"> </w:t>
        <w:t xml:space="preserve">H AMD</w:t>
      </w:r>
      <w:r>
        <w:t xml:space="preserve"> </w:t>
      </w:r>
      <w:r>
        <w:rPr>
          <w:b/>
        </w:rPr>
        <w:t xml:space="preserve">921</w:t>
      </w:r>
    </w:p>
    <w:p>
      <w:pPr>
        <w:spacing w:before="0" w:after="0" w:line="408" w:lineRule="exact"/>
        <w:ind w:left="0" w:right="0" w:firstLine="576"/>
        <w:jc w:val="left"/>
      </w:pPr>
      <w:r>
        <w:rPr/>
        <w:t xml:space="preserve">By Representative Fitzgibbon</w:t>
      </w:r>
    </w:p>
    <w:p>
      <w:pPr>
        <w:jc w:val="right"/>
      </w:pPr>
      <w:r>
        <w:rPr>
          <w:b/>
        </w:rPr>
        <w:t xml:space="preserve">ADOPTED 02/11/2022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and organic material wastes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Encouraging cities and counties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in each jurisdiction that implements a local solid waste plan under RCW 70A.205.040:</w:t>
      </w:r>
    </w:p>
    <w:p>
      <w:pPr>
        <w:spacing w:before="0" w:after="0" w:line="408" w:lineRule="exact"/>
        <w:ind w:left="0" w:right="0" w:firstLine="576"/>
        <w:jc w:val="left"/>
      </w:pPr>
      <w:r>
        <w:rPr/>
        <w:t xml:space="preserve">(a) Source-separated organic solid waste collection services must be provided at least every other week or at least 26 weeks annually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 per week of organic materials for management; and</w:t>
      </w:r>
    </w:p>
    <w:p>
      <w:pPr>
        <w:spacing w:before="0" w:after="0" w:line="408" w:lineRule="exact"/>
        <w:ind w:left="0" w:right="0" w:firstLine="576"/>
        <w:jc w:val="left"/>
      </w:pPr>
      <w:r>
        <w:rPr/>
        <w:t xml:space="preserve">(b) All organic solid waste collected from residents and businesses under (a) of this subsection must be managed through organic materials management.</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solid waste management plan developed under this chapter, after July 1, 2024, each local comprehensive plan must consider the transition to the requirements of section 102 of this act, and each comprehensive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agricultural zones, or rural zones, and may not be located in overburdened communities identified by the department of ecology under RCW 70A.65.020(1). Priority areas should be designated with an attempt to minimize incompatible uses and potential impacts on residential areas;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solid waste management plan developed under this chapter, after January 1, 2027, each local comprehensive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packaging and paper products through extended producer responsibility programs;</w:t>
      </w:r>
    </w:p>
    <w:p>
      <w:pPr>
        <w:spacing w:before="0" w:after="0" w:line="408" w:lineRule="exact"/>
        <w:ind w:left="0" w:right="0" w:firstLine="576"/>
        <w:jc w:val="left"/>
      </w:pPr>
      <w:r>
        <w:rPr/>
        <w:t xml:space="preserve">(iii) Manage other products through product stewardship or extended producer responsibility programs;</w:t>
      </w:r>
    </w:p>
    <w:p>
      <w:pPr>
        <w:spacing w:before="0" w:after="0" w:line="408" w:lineRule="exact"/>
        <w:ind w:left="0" w:right="0" w:firstLine="576"/>
        <w:jc w:val="left"/>
      </w:pPr>
      <w:r>
        <w:rPr/>
        <w:t xml:space="preserve">(iv) Improve or install new or updated methane capture systems;</w:t>
      </w:r>
    </w:p>
    <w:p>
      <w:pPr>
        <w:spacing w:before="0" w:after="0" w:line="408" w:lineRule="exact"/>
        <w:ind w:left="0" w:right="0" w:firstLine="576"/>
        <w:jc w:val="left"/>
      </w:pPr>
      <w:r>
        <w:rPr/>
        <w:t xml:space="preserve">(v) Increase postconsumer content requirements for materials collected in solid waste programs; and</w:t>
      </w:r>
    </w:p>
    <w:p>
      <w:pPr>
        <w:spacing w:before="0" w:after="0" w:line="408" w:lineRule="exact"/>
        <w:ind w:left="0" w:right="0" w:firstLine="576"/>
        <w:jc w:val="left"/>
      </w:pPr>
      <w:r>
        <w:rPr/>
        <w:t xml:space="preserve">(vi)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to the department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to the department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 Wastes that are not managed on-site by the generating business, wastes generated from the growth and harvest of food or fiber that are managed off-site by another business engaged in the growth and harvest of food or fiber, and wastes generated in exceptional volumes as a result of a natural disaster or other infrequent and unpreventable event, do not count for purposes of determining waste volumes in (a) through (c) of this subsection.</w:t>
      </w:r>
    </w:p>
    <w:p>
      <w:pPr>
        <w:spacing w:before="0" w:after="0" w:line="408" w:lineRule="exact"/>
        <w:ind w:left="0" w:right="0" w:firstLine="576"/>
        <w:jc w:val="left"/>
      </w:pPr>
      <w:r>
        <w:rPr/>
        <w:t xml:space="preserve">(a)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(b)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(c)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 </w:t>
      </w:r>
      <w:r>
        <w:rPr>
          <w:u w:val="single"/>
        </w:rPr>
        <w:t xml:space="preserve">or is charged only a good samaritan reduced price</w:t>
      </w:r>
      <w:r>
        <w:rPr/>
        <w:t xml:space="preserv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w:t>
      </w:r>
      <w:r>
        <w:rPr>
          <w:u w:val="single"/>
        </w:rPr>
        <w:t xml:space="preserve">"Good samaritan reduced price" means the price of an apparently wholesome food or an apparently fit grocery product that is an amount not greater than the cost of handling, administering, and distributing the apparently wholesome food or apparently fit grocery product.</w:t>
      </w:r>
    </w:p>
    <w:p>
      <w:pPr>
        <w:spacing w:before="0" w:after="0" w:line="408" w:lineRule="exact"/>
        <w:ind w:left="0" w:right="0" w:firstLine="576"/>
        <w:jc w:val="left"/>
      </w:pPr>
      <w:r>
        <w:rPr>
          <w:u w:val="single"/>
        </w:rPr>
        <w:t xml:space="preserve">(g)</w:t>
      </w:r>
      <w:r>
        <w:rPr/>
        <w:t xml:space="preserve">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(l)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(m)(i)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w:t>
      </w:r>
      <w:r>
        <w:rPr>
          <w:u w:val="single"/>
        </w:rPr>
        <w:t xml:space="preserve">or sells at a good samaritan reduced price</w:t>
      </w:r>
      <w:r>
        <w:rPr/>
        <w:t xml:space="preserve"> to a nonprofit organization for ultimate </w:t>
      </w:r>
      <w:r>
        <w:rPr>
          <w:u w:val="single"/>
        </w:rPr>
        <w:t xml:space="preserve">sale at a good samaritan reduced price, donation, or other</w:t>
      </w:r>
      <w:r>
        <w:rPr/>
        <w:t xml:space="preserv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or sells at a good samaritan reduced price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consultation with the office of the attorney general, the department must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department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department under section 405 of this act is not subject to the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December 31, 2024, and each December 31st of even-numbered years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at least partially colored or partially tinted green, beige, or brown</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the collection of solid waste, including curbside collection of residential recyclable materials, nor does this section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Second Substitute House Bill:</w:t>
      </w:r>
    </w:p>
    <w:p>
      <w:pPr>
        <w:spacing w:before="0" w:after="0" w:line="408" w:lineRule="exact"/>
        <w:ind w:left="0" w:right="0" w:firstLine="576"/>
        <w:jc w:val="left"/>
      </w:pPr>
      <w:r>
        <w:rPr/>
        <w:t xml:space="preserve">(1) Requires source-separated collection service of organic solid waste at least every other week or 26 weeks annually for all residents and for nonresidential customers that generate at least 1/4 of a cubic yard of organic waste per week, beginning in 2027 in certain jurisdictions;</w:t>
      </w:r>
    </w:p>
    <w:p>
      <w:pPr>
        <w:spacing w:before="0" w:after="0" w:line="408" w:lineRule="exact"/>
        <w:ind w:left="0" w:right="0" w:firstLine="576"/>
        <w:jc w:val="left"/>
      </w:pPr>
      <w:r>
        <w:rPr/>
        <w:t xml:space="preserve">(2) Clarifies that waivers issued by the Department of Ecology to local governments related to organic waste collection requirements are renewable;</w:t>
      </w:r>
    </w:p>
    <w:p>
      <w:pPr>
        <w:spacing w:before="0" w:after="0" w:line="408" w:lineRule="exact"/>
        <w:ind w:left="0" w:right="0" w:firstLine="576"/>
        <w:jc w:val="left"/>
      </w:pPr>
      <w:r>
        <w:rPr/>
        <w:t xml:space="preserve">(3) Requires cities that begin implementing an independent solid waste plan after 2022 to provide biweekly organic material collection requirements;</w:t>
      </w:r>
    </w:p>
    <w:p>
      <w:pPr>
        <w:spacing w:before="0" w:after="0" w:line="408" w:lineRule="exact"/>
        <w:ind w:left="0" w:right="0" w:firstLine="576"/>
        <w:jc w:val="left"/>
      </w:pPr>
      <w:r>
        <w:rPr/>
        <w:t xml:space="preserve">(4) Requires county designation of priority areas for the siting of organic material management facilities to be designated with an attempt to minimize incompatible uses and potential impacts on residential areas, authorizes priority areas to be located in agricultural or rural zones in addition to industrial zones, and prohibits the designation of priority areas in overburdened communities identified by the Department of Ecology under the Climate Commitment Act, rather than overburdened communities identified by the Department of Health;</w:t>
      </w:r>
    </w:p>
    <w:p>
      <w:pPr>
        <w:spacing w:before="0" w:after="0" w:line="408" w:lineRule="exact"/>
        <w:ind w:left="0" w:right="0" w:firstLine="576"/>
        <w:jc w:val="left"/>
      </w:pPr>
      <w:r>
        <w:rPr/>
        <w:t xml:space="preserve">(5) Amends various criteria that must be included as part of the Department of Ecology's 2023 study of the adequacy of local solid waste management funding and requires a private sector solid waste association to be included among the stakeholders consulted for the study;</w:t>
      </w:r>
    </w:p>
    <w:p>
      <w:pPr>
        <w:spacing w:before="0" w:after="0" w:line="408" w:lineRule="exact"/>
        <w:ind w:left="0" w:right="0" w:firstLine="576"/>
        <w:jc w:val="left"/>
      </w:pPr>
      <w:r>
        <w:rPr/>
        <w:t xml:space="preserve">(6) Clarifies that businesses that comply with organic material management requirements by source-separating organic materials and subscribing to an organic material collection service must also use that service for their organic material wastes;</w:t>
      </w:r>
    </w:p>
    <w:p>
      <w:pPr>
        <w:spacing w:before="0" w:after="0" w:line="408" w:lineRule="exact"/>
        <w:ind w:left="0" w:right="0" w:firstLine="576"/>
        <w:jc w:val="left"/>
      </w:pPr>
      <w:r>
        <w:rPr/>
        <w:t xml:space="preserve">(7) Requires the Department of Ecology to research and adopt model ordinances for optional use by cities and counties that provide model mechanisms to establish a financial disincentive or other disincentives for the generation of organic waste and the disposal of organic materials in landfills;</w:t>
      </w:r>
    </w:p>
    <w:p>
      <w:pPr>
        <w:spacing w:before="0" w:after="0" w:line="408" w:lineRule="exact"/>
        <w:ind w:left="0" w:right="0" w:firstLine="576"/>
        <w:jc w:val="left"/>
      </w:pPr>
      <w:r>
        <w:rPr/>
        <w:t xml:space="preserve">(8) Exempts local government adoption of model ordinances developed by the Department of Ecology from State Environmental Policy Act review requirements;</w:t>
      </w:r>
    </w:p>
    <w:p>
      <w:pPr>
        <w:spacing w:before="0" w:after="0" w:line="408" w:lineRule="exact"/>
        <w:ind w:left="0" w:right="0" w:firstLine="576"/>
        <w:jc w:val="left"/>
      </w:pPr>
      <w:r>
        <w:rPr/>
        <w:t xml:space="preserve">(9) Clarifies that cities and counties are the only types of local government that must adopt compost procurement ordinances;</w:t>
      </w:r>
    </w:p>
    <w:p>
      <w:pPr>
        <w:spacing w:before="0" w:after="0" w:line="408" w:lineRule="exact"/>
        <w:ind w:left="0" w:right="0" w:firstLine="576"/>
        <w:jc w:val="left"/>
      </w:pPr>
      <w:r>
        <w:rPr/>
        <w:t xml:space="preserve">(10) Increases the population threshold that requires a city or county to adopt a compost procurement ordinance from 10,000 to 25,000;</w:t>
      </w:r>
    </w:p>
    <w:p>
      <w:pPr>
        <w:spacing w:before="0" w:after="0" w:line="408" w:lineRule="exact"/>
        <w:ind w:left="0" w:right="0" w:firstLine="576"/>
        <w:jc w:val="left"/>
      </w:pPr>
      <w:r>
        <w:rPr/>
        <w:t xml:space="preserve">(11) Requires any county or city in which organic material collection services are offered to adopt a compost procurement ordinance, regardless of population; and</w:t>
      </w:r>
    </w:p>
    <w:p>
      <w:pPr>
        <w:spacing w:before="0" w:after="0" w:line="408" w:lineRule="exact"/>
        <w:ind w:left="0" w:right="0" w:firstLine="576"/>
        <w:jc w:val="left"/>
      </w:pPr>
      <w:r>
        <w:rPr/>
        <w:t xml:space="preserve">(12) Adds a generally applicable declaration that nothing in the Act changes the authority of the Utilities and Transportation Commission to regulate solid waste collection or limits city or town authority to provide or contract for solid waste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395c349454bc9" /></Relationships>
</file>