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13cd069644c81" /></Relationships>
</file>

<file path=word/document.xml><?xml version="1.0" encoding="utf-8"?>
<w:document xmlns:w="http://schemas.openxmlformats.org/wordprocessingml/2006/main">
  <w:body>
    <w:p>
      <w:r>
        <w:rPr>
          <w:b/>
        </w:rPr>
        <w:r>
          <w:rPr/>
          <w:t xml:space="preserve">1921-S</w:t>
        </w:r>
      </w:r>
      <w:r>
        <w:rPr>
          <w:b/>
        </w:rPr>
        <w:t xml:space="preserve"> </w:t>
        <w:t xml:space="preserve">AMH</w:t>
      </w:r>
      <w:r>
        <w:rPr>
          <w:b/>
        </w:rPr>
        <w:t xml:space="preserve"> </w:t>
        <w:r>
          <w:rPr/>
          <w:t xml:space="preserve">RAME</w:t>
        </w:r>
      </w:r>
      <w:r>
        <w:rPr>
          <w:b/>
        </w:rPr>
        <w:t xml:space="preserve"> </w:t>
        <w:r>
          <w:rPr/>
          <w:t xml:space="preserve">H2709.1</w:t>
        </w:r>
      </w:r>
      <w:r>
        <w:rPr>
          <w:b/>
        </w:rPr>
        <w:t xml:space="preserve"> - NOT FOR FLOOR USE</w:t>
      </w:r>
    </w:p>
    <w:p>
      <w:pPr>
        <w:ind w:left="0" w:right="0" w:firstLine="576"/>
      </w:pPr>
    </w:p>
    <w:p>
      <w:pPr>
        <w:spacing w:before="480" w:after="0" w:line="408" w:lineRule="exact"/>
      </w:pPr>
      <w:r>
        <w:rPr>
          <w:b/>
          <w:u w:val="single"/>
        </w:rPr>
        <w:t xml:space="preserve">SHB 1921</w:t>
      </w:r>
      <w:r>
        <w:t xml:space="preserve"> -</w:t>
      </w:r>
      <w:r>
        <w:t xml:space="preserve"> </w:t>
        <w:t xml:space="preserve">H AMD</w:t>
      </w:r>
      <w:r>
        <w:t xml:space="preserve"> </w:t>
      </w:r>
      <w:r>
        <w:rPr>
          <w:b/>
        </w:rPr>
        <w:t xml:space="preserve">1118</w:t>
      </w:r>
    </w:p>
    <w:p>
      <w:pPr>
        <w:spacing w:before="0" w:after="0" w:line="408" w:lineRule="exact"/>
        <w:ind w:left="0" w:right="0" w:firstLine="576"/>
        <w:jc w:val="left"/>
      </w:pPr>
      <w:r>
        <w:rPr/>
        <w:t xml:space="preserve">By Representative Ramel</w:t>
      </w:r>
    </w:p>
    <w:p>
      <w:pPr>
        <w:jc w:val="right"/>
      </w:pPr>
      <w:r>
        <w:rPr>
          <w:b/>
        </w:rPr>
        <w:t xml:space="preserve">ADOPTED 02/15/2022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authorization, and all related provisions regarding the authorization, for a county to enter into an agreement with a renewable energy property owner for payment instead of taxes.</w:t>
      </w:r>
    </w:p>
    <w:p>
      <w:pPr>
        <w:spacing w:before="0" w:after="0" w:line="408" w:lineRule="exact"/>
        <w:ind w:left="0" w:right="0" w:firstLine="576"/>
        <w:jc w:val="left"/>
      </w:pPr>
      <w:r>
        <w:rPr/>
        <w:t xml:space="preserve">(2) Removes the renewable energy property tax exemption.</w:t>
      </w:r>
    </w:p>
    <w:p>
      <w:pPr>
        <w:spacing w:before="0" w:after="0" w:line="408" w:lineRule="exact"/>
        <w:ind w:left="0" w:right="0" w:firstLine="576"/>
        <w:jc w:val="left"/>
      </w:pPr>
      <w:r>
        <w:rPr/>
        <w:t xml:space="preserve">(3) Modifies the requirement for the department of revenue (DOR) to publish guidance regarding a cost-based appraisal method and industry-specific tables for renewable energy property by:</w:t>
      </w:r>
    </w:p>
    <w:p>
      <w:pPr>
        <w:spacing w:before="0" w:after="0" w:line="408" w:lineRule="exact"/>
        <w:ind w:left="0" w:right="0" w:firstLine="576"/>
        <w:jc w:val="left"/>
      </w:pPr>
      <w:r>
        <w:rPr/>
        <w:t xml:space="preserve">(a) Requiring the cost-based appraisal method and valuation tables to be published by January 1, 2023, for solar and wind power equipment; and by January 1, 2024, for electricity storage equipment;</w:t>
      </w:r>
    </w:p>
    <w:p>
      <w:pPr>
        <w:spacing w:before="0" w:after="0" w:line="408" w:lineRule="exact"/>
        <w:ind w:left="0" w:right="0" w:firstLine="576"/>
        <w:jc w:val="left"/>
      </w:pPr>
      <w:r>
        <w:rPr/>
        <w:t xml:space="preserve">(b) Requiring county assessors to refer to the DOR guidance when valuing renewable energy property; and</w:t>
      </w:r>
    </w:p>
    <w:p>
      <w:pPr>
        <w:spacing w:before="0" w:after="0" w:line="408" w:lineRule="exact"/>
        <w:ind w:left="0" w:right="0" w:firstLine="576"/>
        <w:jc w:val="left"/>
      </w:pPr>
      <w:r>
        <w:rPr/>
        <w:t xml:space="preserve">(c) Providing that county assessors may consider additional valuation methods in determining the true and fair value of renewable energy property when a compelling reason exists.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84b31f0284d89" /></Relationships>
</file>