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b13e7f2304b09"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DYEM</w:t>
        </w:r>
      </w:r>
      <w:r>
        <w:rPr>
          <w:b/>
        </w:rPr>
        <w:t xml:space="preserve"> </w:t>
        <w:r>
          <w:rPr/>
          <w:t xml:space="preserve">H1512.1</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AMD TO APP COMM AMD (H-1491.1/21)</w:t>
      </w:r>
      <w:r>
        <w:t xml:space="preserve"> </w:t>
      </w:r>
      <w:r>
        <w:rPr>
          <w:b/>
        </w:rPr>
        <w:t xml:space="preserve">621</w:t>
      </w:r>
    </w:p>
    <w:p>
      <w:pPr>
        <w:spacing w:before="0" w:after="0" w:line="408" w:lineRule="exact"/>
        <w:ind w:left="0" w:right="0" w:firstLine="576"/>
        <w:jc w:val="left"/>
      </w:pPr>
      <w:r>
        <w:rPr/>
        <w:t xml:space="preserve">By Representative Dye</w:t>
      </w:r>
    </w:p>
    <w:p>
      <w:pPr>
        <w:jc w:val="right"/>
      </w:pPr>
      <w:r>
        <w:rPr>
          <w:b/>
        </w:rPr>
        <w:t xml:space="preserve">NOT ADOPTED 04/07/2021</w:t>
      </w:r>
    </w:p>
    <w:p>
      <w:pPr>
        <w:spacing w:before="0" w:after="0" w:line="408" w:lineRule="exact"/>
        <w:ind w:left="0" w:right="0" w:firstLine="576"/>
        <w:jc w:val="left"/>
      </w:pPr>
      <w:r>
        <w:rPr/>
        <w:t xml:space="preserve">On page 7, beginning on line 3, after "(3)" strike all material through "subsection." on line 29 and insert "Any fiscal impact on the department that results from the implementation, administration, or enforcement of this section, sections 4 through 7 of this act, and section 12 (1), (2), and (4) of this act must be paid for out of funds that are appropriated by the legislature from the model toxics control operating account."</w:t>
      </w:r>
    </w:p>
    <w:p>
      <w:pPr>
        <w:spacing w:before="0" w:after="0" w:line="408" w:lineRule="exact"/>
        <w:ind w:left="0" w:right="0" w:firstLine="576"/>
        <w:jc w:val="left"/>
      </w:pPr>
      <w:r>
        <w:rPr/>
        <w:t xml:space="preserve">Beginning on page 20, line 33, strike all of section 14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Eliminates the requirement that the Department of Ecology identify annual costs and collect annual payments from producers related to the Department's implementation of minimum postconsumer recycled content requirements. Provides that the Department of Ecology's implementation, administration, and enforcement costs related to minimum postconsumer recycled content requirements be paid for out of the model toxics control operating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29845f8d994e7a" /></Relationships>
</file>