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cb939cd0647ee" /></Relationships>
</file>

<file path=word/document.xml><?xml version="1.0" encoding="utf-8"?>
<w:document xmlns:w="http://schemas.openxmlformats.org/wordprocessingml/2006/main">
  <w:body>
    <w:p>
      <w:r>
        <w:rPr>
          <w:b/>
        </w:rPr>
        <w:r>
          <w:rPr/>
          <w:t xml:space="preserve">5122-S.E</w:t>
        </w:r>
      </w:r>
      <w:r>
        <w:rPr>
          <w:b/>
        </w:rPr>
        <w:t xml:space="preserve"> </w:t>
        <w:t xml:space="preserve">AMH</w:t>
      </w:r>
      <w:r>
        <w:rPr>
          <w:b/>
        </w:rPr>
        <w:t xml:space="preserve"> </w:t>
        <w:r>
          <w:rPr/>
          <w:t xml:space="preserve">CYF</w:t>
        </w:r>
      </w:r>
      <w:r>
        <w:rPr>
          <w:b/>
        </w:rPr>
        <w:t xml:space="preserve"> </w:t>
        <w:r>
          <w:rPr/>
          <w:t xml:space="preserve">H1307.1</w:t>
        </w:r>
      </w:r>
      <w:r>
        <w:rPr>
          <w:b/>
        </w:rPr>
        <w:t xml:space="preserve"> - NOT FOR FLOOR USE</w:t>
      </w:r>
    </w:p>
    <w:p>
      <w:pPr>
        <w:ind w:left="0" w:right="0" w:firstLine="576"/>
      </w:pPr>
    </w:p>
    <w:p>
      <w:pPr>
        <w:spacing w:before="480" w:after="0" w:line="408" w:lineRule="exact"/>
      </w:pPr>
      <w:r>
        <w:rPr>
          <w:b/>
          <w:u w:val="single"/>
        </w:rPr>
        <w:t xml:space="preserve">ESSB 5122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Children, Youth &amp; Families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juvenile justice system should be to protect public safety, connect youth with age-appropriate services that reduce the risk of recidivism, and provide meaningful rehabilitation so all youth can have the opportunity for success in life. The legislature declares that responses to problematic behaviors of youth should be guided by evidence-based practices and that policy changes to the system should be strongly rooted in eliminating racial inequities.</w:t>
      </w:r>
    </w:p>
    <w:p>
      <w:pPr>
        <w:spacing w:before="0" w:after="0" w:line="408" w:lineRule="exact"/>
        <w:ind w:left="0" w:right="0" w:firstLine="576"/>
        <w:jc w:val="left"/>
      </w:pPr>
      <w:r>
        <w:rPr/>
        <w:t xml:space="preserve">The legislature recognizes that a scientific consensus has developed that demonstrates that youth continue to develop neurologically until age 26. The legislature finds that youth ages eight through 12 are less capable of making fully informed decisions and youth ages 18 and 19 are particularly susceptible to outside factors influencing their decision making.</w:t>
      </w:r>
    </w:p>
    <w:p>
      <w:pPr>
        <w:spacing w:before="0" w:after="0" w:line="408" w:lineRule="exact"/>
        <w:ind w:left="0" w:right="0" w:firstLine="576"/>
        <w:jc w:val="left"/>
      </w:pPr>
      <w:r>
        <w:rPr/>
        <w:t xml:space="preserve">The legislature recognizes that on January 18, 2021, the Washington state board of health released a review regarding the health impacts of raising the age of the juvenile court's jurisdiction to likely decrease the juvenile criminal legal system's involvement for some youth ages eight through 12 and to likely decrease the adult criminal legal system's involvement for some emerging adults ages 18 and 19. The board further found very strong evidence that this would decrease juvenile recidivism and improve health outcomes, access to employment opportunities, housing access, and economic stability.</w:t>
      </w:r>
    </w:p>
    <w:p>
      <w:pPr>
        <w:spacing w:before="0" w:after="0" w:line="408" w:lineRule="exact"/>
        <w:ind w:left="0" w:right="0" w:firstLine="576"/>
        <w:jc w:val="left"/>
      </w:pPr>
      <w:r>
        <w:rPr/>
        <w:t xml:space="preserve">The legislature intends to amend jurisdiction of juvenile court to include youth ages 13 through 19, with certain exceptions, and consider expanding juvenile court jurisdiction to include individuals over age 19. The legislature recognizes the important role that local governments play in ensuring access to justice in the juvenile court system. The legislature recognizes that amended jurisdiction in juvenile court may increase expenses for juvenile court systems despite significant offset savings in the adult system through reduced adult caseloads. The legislature intends to partner with local governments, courts, and other stakeholders to ensure successful expansion of juvenile court jurisdiction. The legislature therefore resolves to convene the raise the age juvenile justice task force to examine and plan for implementation of expanded juvenile court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raise the age juvenile justice task force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as follows unless specified representing the:</w:t>
      </w:r>
    </w:p>
    <w:p>
      <w:pPr>
        <w:spacing w:before="0" w:after="0" w:line="408" w:lineRule="exact"/>
        <w:ind w:left="0" w:right="0" w:firstLine="576"/>
        <w:jc w:val="left"/>
      </w:pPr>
      <w:r>
        <w:rPr/>
        <w:t xml:space="preserve">(i) Juvenile rehabilitation administration;</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Washington association of sheriffs and police chiefs;</w:t>
      </w:r>
    </w:p>
    <w:p>
      <w:pPr>
        <w:spacing w:before="0" w:after="0" w:line="408" w:lineRule="exact"/>
        <w:ind w:left="0" w:right="0" w:firstLine="576"/>
        <w:jc w:val="left"/>
      </w:pPr>
      <w:r>
        <w:rPr/>
        <w:t xml:space="preserve">(iv) Office of public defense;</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District and municipal court judges' association;</w:t>
      </w:r>
    </w:p>
    <w:p>
      <w:pPr>
        <w:spacing w:before="0" w:after="0" w:line="408" w:lineRule="exact"/>
        <w:ind w:left="0" w:right="0" w:firstLine="576"/>
        <w:jc w:val="left"/>
      </w:pPr>
      <w:r>
        <w:rPr/>
        <w:t xml:space="preserve">(vii) Administrative office of the courts;</w:t>
      </w:r>
    </w:p>
    <w:p>
      <w:pPr>
        <w:spacing w:before="0" w:after="0" w:line="408" w:lineRule="exact"/>
        <w:ind w:left="0" w:right="0" w:firstLine="576"/>
        <w:jc w:val="left"/>
      </w:pPr>
      <w:r>
        <w:rPr/>
        <w:t xml:space="preserve">(viii) Washington state association of counties, with one member representing the Washington state association of counties generally and one member representing the Washington state association of counties having expertise in county facilities;</w:t>
      </w:r>
    </w:p>
    <w:p>
      <w:pPr>
        <w:spacing w:before="0" w:after="0" w:line="408" w:lineRule="exact"/>
        <w:ind w:left="0" w:right="0" w:firstLine="576"/>
        <w:jc w:val="left"/>
      </w:pPr>
      <w:r>
        <w:rPr/>
        <w:t xml:space="preserve">(ix) Association of Washington cities;</w:t>
      </w:r>
    </w:p>
    <w:p>
      <w:pPr>
        <w:spacing w:before="0" w:after="0" w:line="408" w:lineRule="exact"/>
        <w:ind w:left="0" w:right="0" w:firstLine="576"/>
        <w:jc w:val="left"/>
      </w:pPr>
      <w:r>
        <w:rPr/>
        <w:t xml:space="preserve">(x) Washington state council of county and city employees;</w:t>
      </w:r>
    </w:p>
    <w:p>
      <w:pPr>
        <w:spacing w:before="0" w:after="0" w:line="408" w:lineRule="exact"/>
        <w:ind w:left="0" w:right="0" w:firstLine="576"/>
        <w:jc w:val="left"/>
      </w:pPr>
      <w:r>
        <w:rPr/>
        <w:t xml:space="preserve">(xi) Office of the superintendent of public instruction;</w:t>
      </w:r>
    </w:p>
    <w:p>
      <w:pPr>
        <w:spacing w:before="0" w:after="0" w:line="408" w:lineRule="exact"/>
        <w:ind w:left="0" w:right="0" w:firstLine="576"/>
        <w:jc w:val="left"/>
      </w:pPr>
      <w:r>
        <w:rPr/>
        <w:t xml:space="preserve">(xii) Minority and justice commission;</w:t>
      </w:r>
    </w:p>
    <w:p>
      <w:pPr>
        <w:spacing w:before="0" w:after="0" w:line="408" w:lineRule="exact"/>
        <w:ind w:left="0" w:right="0" w:firstLine="576"/>
        <w:jc w:val="left"/>
      </w:pPr>
      <w:r>
        <w:rPr/>
        <w:t xml:space="preserve">(xiii) Superior court judges' association, one member representing western Washington and one representing eastern Washington;</w:t>
      </w:r>
    </w:p>
    <w:p>
      <w:pPr>
        <w:spacing w:before="0" w:after="0" w:line="408" w:lineRule="exact"/>
        <w:ind w:left="0" w:right="0" w:firstLine="576"/>
        <w:jc w:val="left"/>
      </w:pPr>
      <w:r>
        <w:rPr/>
        <w:t xml:space="preserve">(xiv) Washington association of juvenile court administrators, one member representing western Washington and one representing eastern Washington;</w:t>
      </w:r>
    </w:p>
    <w:p>
      <w:pPr>
        <w:spacing w:before="0" w:after="0" w:line="408" w:lineRule="exact"/>
        <w:ind w:left="0" w:right="0" w:firstLine="576"/>
        <w:jc w:val="left"/>
      </w:pPr>
      <w:r>
        <w:rPr/>
        <w:t xml:space="preserve">(xv) Washington state school directors' association, a member representing a school district that provides education services to a juvenile rehabilitation residential facility;</w:t>
      </w:r>
    </w:p>
    <w:p>
      <w:pPr>
        <w:spacing w:before="0" w:after="0" w:line="408" w:lineRule="exact"/>
        <w:ind w:left="0" w:right="0" w:firstLine="576"/>
        <w:jc w:val="left"/>
      </w:pPr>
      <w:r>
        <w:rPr/>
        <w:t xml:space="preserve">(xvi) Department of health;</w:t>
      </w:r>
    </w:p>
    <w:p>
      <w:pPr>
        <w:spacing w:before="0" w:after="0" w:line="408" w:lineRule="exact"/>
        <w:ind w:left="0" w:right="0" w:firstLine="576"/>
        <w:jc w:val="left"/>
      </w:pPr>
      <w:r>
        <w:rPr/>
        <w:t xml:space="preserve">(xvii) Statewide organization representing public defense attorneys;</w:t>
      </w:r>
    </w:p>
    <w:p>
      <w:pPr>
        <w:spacing w:before="0" w:after="0" w:line="408" w:lineRule="exact"/>
        <w:ind w:left="0" w:right="0" w:firstLine="576"/>
        <w:jc w:val="left"/>
      </w:pPr>
      <w:r>
        <w:rPr/>
        <w:t xml:space="preserve">(xviii) Department of children, youth, and families;</w:t>
      </w:r>
    </w:p>
    <w:p>
      <w:pPr>
        <w:spacing w:before="0" w:after="0" w:line="408" w:lineRule="exact"/>
        <w:ind w:left="0" w:right="0" w:firstLine="576"/>
        <w:jc w:val="left"/>
      </w:pPr>
      <w:r>
        <w:rPr/>
        <w:t xml:space="preserve">(xix) Communities who have been impacted or served by the juvenile justice system, with two members from these communities;</w:t>
      </w:r>
    </w:p>
    <w:p>
      <w:pPr>
        <w:spacing w:before="0" w:after="0" w:line="408" w:lineRule="exact"/>
        <w:ind w:left="0" w:right="0" w:firstLine="576"/>
        <w:jc w:val="left"/>
      </w:pPr>
      <w:r>
        <w:rPr/>
        <w:t xml:space="preserve">(xx) Medical community with expertise in adolescent brain development;</w:t>
      </w:r>
    </w:p>
    <w:p>
      <w:pPr>
        <w:spacing w:before="0" w:after="0" w:line="408" w:lineRule="exact"/>
        <w:ind w:left="0" w:right="0" w:firstLine="576"/>
        <w:jc w:val="left"/>
      </w:pPr>
      <w:r>
        <w:rPr/>
        <w:t xml:space="preserve">(xxi) Organizations representing the interests of incarcerated persons, with two representatives each representing different programs and serving different constituencies; and</w:t>
      </w:r>
    </w:p>
    <w:p>
      <w:pPr>
        <w:spacing w:before="0" w:after="0" w:line="408" w:lineRule="exact"/>
        <w:ind w:left="0" w:right="0" w:firstLine="576"/>
        <w:jc w:val="left"/>
      </w:pPr>
      <w:r>
        <w:rPr/>
        <w:t xml:space="preserve">(xxii) Organizations representing the interests of youth involved in the juvenile justice system, with three representatives from different regions of the state or representing different programs.</w:t>
      </w:r>
    </w:p>
    <w:p>
      <w:pPr>
        <w:spacing w:before="0" w:after="0" w:line="408" w:lineRule="exact"/>
        <w:ind w:left="0" w:right="0" w:firstLine="576"/>
        <w:jc w:val="left"/>
      </w:pPr>
      <w:r>
        <w:rPr/>
        <w:t xml:space="preserve">(2) The legislative membership shall convene the initial meeting of the task force no later than September 1, 2021.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juvenile justice.</w:t>
      </w:r>
    </w:p>
    <w:p>
      <w:pPr>
        <w:spacing w:before="0" w:after="0" w:line="408" w:lineRule="exact"/>
        <w:ind w:left="0" w:right="0" w:firstLine="576"/>
        <w:jc w:val="left"/>
      </w:pPr>
      <w:r>
        <w:rPr/>
        <w:t xml:space="preserve">(4) Taking into consideration research and case law regarding adolescent brain development, the task force shall consider and provide recommendations regarding:</w:t>
      </w:r>
    </w:p>
    <w:p>
      <w:pPr>
        <w:spacing w:before="0" w:after="0" w:line="408" w:lineRule="exact"/>
        <w:ind w:left="0" w:right="0" w:firstLine="576"/>
        <w:jc w:val="left"/>
      </w:pPr>
      <w:r>
        <w:rPr/>
        <w:t xml:space="preserve">(a) Implementation of juvenile jurisdiction expansion to encompass persons 18 years old and 19 years old; and</w:t>
      </w:r>
    </w:p>
    <w:p>
      <w:pPr>
        <w:spacing w:before="0" w:after="0" w:line="408" w:lineRule="exact"/>
        <w:ind w:left="0" w:right="0" w:firstLine="576"/>
        <w:jc w:val="left"/>
      </w:pPr>
      <w:r>
        <w:rPr/>
        <w:t xml:space="preserve">(b) Expansion of juvenile court jurisdiction to include ages above 19 years of age.</w:t>
      </w:r>
    </w:p>
    <w:p>
      <w:pPr>
        <w:spacing w:before="0" w:after="0" w:line="408" w:lineRule="exact"/>
        <w:ind w:left="0" w:right="0" w:firstLine="576"/>
        <w:jc w:val="left"/>
      </w:pPr>
      <w:r>
        <w:rPr/>
        <w:t xml:space="preserve">(5) On or before December 1, 2022, the task force shall report to the governor and appropriate committees of the legislature on the status and plan for the expansion, including necessary funding, essential personnel and programmatic resources, measures necessary to avoid a negative impact on the state's child protection response, and specific milestones related to operations and policy, including:</w:t>
      </w:r>
    </w:p>
    <w:p>
      <w:pPr>
        <w:spacing w:before="0" w:after="0" w:line="408" w:lineRule="exact"/>
        <w:ind w:left="0" w:right="0" w:firstLine="576"/>
        <w:jc w:val="left"/>
      </w:pPr>
      <w:r>
        <w:rPr/>
        <w:t xml:space="preserve">(a) A timeline for structural and systemic changes within the juvenile justice system for the juvenile rehabilitation division, the department of children, youth, and families, the department of corrections, and the juvenile court pursuant to chapter 13.04 RCW;</w:t>
      </w:r>
    </w:p>
    <w:p>
      <w:pPr>
        <w:spacing w:before="0" w:after="0" w:line="408" w:lineRule="exact"/>
        <w:ind w:left="0" w:right="0" w:firstLine="576"/>
        <w:jc w:val="left"/>
      </w:pPr>
      <w:r>
        <w:rPr/>
        <w:t xml:space="preserve">(b) An operations and business plan that defines benchmarks, including possible changes to resource allocations;</w:t>
      </w:r>
    </w:p>
    <w:p>
      <w:pPr>
        <w:spacing w:before="0" w:after="0" w:line="408" w:lineRule="exact"/>
        <w:ind w:left="0" w:right="0" w:firstLine="576"/>
        <w:jc w:val="left"/>
      </w:pPr>
      <w:r>
        <w:rPr/>
        <w:t xml:space="preserve">(c) Review of the estimated costs avoided by local and state governments with the reduction of recidivism and an analysis of cost savings reinvestment options;</w:t>
      </w:r>
    </w:p>
    <w:p>
      <w:pPr>
        <w:spacing w:before="0" w:after="0" w:line="408" w:lineRule="exact"/>
        <w:ind w:left="0" w:right="0" w:firstLine="576"/>
        <w:jc w:val="left"/>
      </w:pPr>
      <w:r>
        <w:rPr/>
        <w:t xml:space="preserve">(d) Anticipated county and state facility changes and modifications, including a timeline or planning needed to successfully expand juvenile court jurisdiction;</w:t>
      </w:r>
    </w:p>
    <w:p>
      <w:pPr>
        <w:spacing w:before="0" w:after="0" w:line="408" w:lineRule="exact"/>
        <w:ind w:left="0" w:right="0" w:firstLine="576"/>
        <w:jc w:val="left"/>
      </w:pPr>
      <w:r>
        <w:rPr/>
        <w:t xml:space="preserve">(e) Estimated new costs incurred to provide juvenile justice services to persons 18 years old and 19 years old; and</w:t>
      </w:r>
    </w:p>
    <w:p>
      <w:pPr>
        <w:spacing w:before="0" w:after="0" w:line="408" w:lineRule="exact"/>
        <w:ind w:left="0" w:right="0" w:firstLine="576"/>
        <w:jc w:val="left"/>
      </w:pPr>
      <w:r>
        <w:rPr/>
        <w:t xml:space="preserve">(f) A clearly defined path for geographic consistency given varying local resources, staff, physical plant limitations, training, services, and partnering needs.</w:t>
      </w:r>
    </w:p>
    <w:p>
      <w:pPr>
        <w:spacing w:before="0" w:after="0" w:line="408" w:lineRule="exact"/>
        <w:ind w:left="0" w:right="0" w:firstLine="576"/>
        <w:jc w:val="left"/>
      </w:pPr>
      <w:r>
        <w:rPr/>
        <w:t xml:space="preserve">(6)(a)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hold at least one meeting a month. The task force may form work groups and may consult experts in fields that will inform and assist the work of the task force.</w:t>
      </w:r>
    </w:p>
    <w:p>
      <w:pPr>
        <w:spacing w:before="0" w:after="0" w:line="408" w:lineRule="exact"/>
        <w:ind w:left="0" w:right="0" w:firstLine="576"/>
        <w:jc w:val="left"/>
      </w:pPr>
      <w:r>
        <w:rPr/>
        <w:t xml:space="preserve">(9)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under the age of </w:t>
      </w:r>
      <w:r>
        <w:t>((</w:t>
      </w:r>
      <w:r>
        <w:rPr>
          <w:strike/>
        </w:rPr>
        <w:t xml:space="preserve">eight</w:t>
      </w:r>
      <w:r>
        <w:t>))</w:t>
      </w:r>
      <w:r>
        <w:rPr/>
        <w:t xml:space="preserve"> </w:t>
      </w:r>
      <w:r>
        <w:rPr>
          <w:u w:val="single"/>
        </w:rPr>
        <w:t xml:space="preserve">13</w:t>
      </w:r>
      <w:r>
        <w:rPr/>
        <w:t xml:space="preserve"> years are incapable of committing crime. Children of eight </w:t>
      </w:r>
      <w:r>
        <w:t>((</w:t>
      </w:r>
      <w:r>
        <w:rPr>
          <w:strike/>
        </w:rPr>
        <w:t xml:space="preserve">and under</w:t>
      </w:r>
      <w:r>
        <w:t>))</w:t>
      </w:r>
      <w:r>
        <w:rPr/>
        <w:t xml:space="preserve"> </w:t>
      </w:r>
      <w:r>
        <w:rPr>
          <w:u w:val="single"/>
        </w:rPr>
        <w:t xml:space="preserve">through</w:t>
      </w:r>
      <w:r>
        <w:rPr/>
        <w:t xml:space="preserve"> twelve years of age </w:t>
      </w:r>
      <w:r>
        <w:rPr>
          <w:u w:val="single"/>
        </w:rPr>
        <w:t xml:space="preserve">who are charged with murder in the first or second degree</w:t>
      </w:r>
      <w:r>
        <w:rPr/>
        <w:t xml:space="preserve"> are presumed to be incapable of committing crime, but this presumption may be </w:t>
      </w:r>
      <w:r>
        <w:t>((</w:t>
      </w:r>
      <w:r>
        <w:rPr>
          <w:strike/>
        </w:rPr>
        <w:t xml:space="preserve">removed by proof</w:t>
      </w:r>
      <w:r>
        <w:t>))</w:t>
      </w:r>
      <w:r>
        <w:rPr/>
        <w:t xml:space="preserve"> </w:t>
      </w:r>
      <w:r>
        <w:rPr>
          <w:u w:val="single"/>
        </w:rPr>
        <w:t xml:space="preserve">rebutted by clear and convincing evidence</w:t>
      </w:r>
      <w:r>
        <w:rPr/>
        <w:t xml:space="preserve"> that they have sufficient capacity to understand the act or neglect, and to know that it was wrong.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17</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17</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Adds the following persons to the raise the age juvenile justice task force: (a) An individual representing the Washington State Association of Counties with expertise in county facilities; (b) an individual representing the Department of Health; (c) an individual representing the statewide organization representing public defense attorneys; (d) an individual representing the Department of Children, Youth, and Families; (e) two individuals representing communities who have been impacted or served by the juvenile justice system; and (f) an individual from the medical community with expertise in adolescent brain development.</w:t>
      </w:r>
    </w:p>
    <w:p>
      <w:pPr>
        <w:spacing w:before="0" w:after="0" w:line="408" w:lineRule="exact"/>
        <w:ind w:left="0" w:right="0" w:firstLine="576"/>
        <w:jc w:val="left"/>
      </w:pPr>
      <w:r>
        <w:rPr/>
        <w:t xml:space="preserve">(2) Requires the raise the age juvenile justice task force to take into consideration research and case law regarding adolescent brain development and make recommendations regarding expansion of juvenile court jurisdiction to include ages above 19 years of age.</w:t>
      </w:r>
    </w:p>
    <w:p>
      <w:pPr>
        <w:spacing w:before="0" w:after="0" w:line="408" w:lineRule="exact"/>
        <w:ind w:left="0" w:right="0" w:firstLine="576"/>
        <w:jc w:val="left"/>
      </w:pPr>
      <w:r>
        <w:rPr/>
        <w:t xml:space="preserve">(3) Requires that the raise the age juvenile justice task force report include anticipated county and state facility changes and modifications, including a timeline or planning needed to successfully expand juvenile court jurisdiction.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a18339c6d4241" /></Relationships>
</file>