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05bc2009114b2d" /></Relationships>
</file>

<file path=word/document.xml><?xml version="1.0" encoding="utf-8"?>
<w:document xmlns:w="http://schemas.openxmlformats.org/wordprocessingml/2006/main">
  <w:body>
    <w:p>
      <w:r>
        <w:rPr>
          <w:b/>
        </w:rPr>
        <w:r>
          <w:rPr/>
          <w:t xml:space="preserve">5214-S2</w:t>
        </w:r>
      </w:r>
      <w:r>
        <w:rPr>
          <w:b/>
        </w:rPr>
        <w:t xml:space="preserve"> </w:t>
        <w:t xml:space="preserve">AMH</w:t>
      </w:r>
      <w:r>
        <w:rPr>
          <w:b/>
        </w:rPr>
        <w:t xml:space="preserve"> </w:t>
        <w:r>
          <w:rPr/>
          <w:t xml:space="preserve">APP</w:t>
        </w:r>
      </w:r>
      <w:r>
        <w:rPr>
          <w:b/>
        </w:rPr>
        <w:t xml:space="preserve"> </w:t>
        <w:r>
          <w:rPr/>
          <w:t xml:space="preserve">H1489.2</w:t>
        </w:r>
      </w:r>
      <w:r>
        <w:rPr>
          <w:b/>
        </w:rPr>
        <w:t xml:space="preserve"> - NOT FOR FLOOR USE</w:t>
      </w:r>
    </w:p>
    <w:p>
      <w:pPr>
        <w:ind w:left="0" w:right="0" w:firstLine="576"/>
      </w:pPr>
    </w:p>
    <w:p>
      <w:pPr>
        <w:spacing w:before="480" w:after="0" w:line="408" w:lineRule="exact"/>
      </w:pPr>
      <w:r>
        <w:rPr>
          <w:b/>
          <w:u w:val="single"/>
        </w:rPr>
        <w:t xml:space="preserve">2SSB 5214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2020 c 320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recipient's family includes a child or youth who is without a fixed, regular, and adequate nighttime residence as described in the federal McKinney-Vento homeless assistance act (Title 42 U.S.C., chapter 119, subchapter VI, part B) as it existed on January 1, 2020; or</w:t>
      </w:r>
    </w:p>
    <w:p>
      <w:pPr>
        <w:spacing w:before="0" w:after="0" w:line="408" w:lineRule="exact"/>
        <w:ind w:left="0" w:right="0" w:firstLine="576"/>
        <w:jc w:val="left"/>
      </w:pPr>
      <w:r>
        <w:rPr>
          <w:u w:val="single"/>
        </w:rPr>
        <w:t xml:space="preserve">(B)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(5)(a)(i)(B) is equal to the number of months that the recipient received temporary assistance for needy families during a month after March 1, 2020, when the unemployment rate was equal to or greater than seven percent, and is applied sequentially to any other hardship extensions that may apply under this subsection (5) or in rule;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All families who have received temporary assistance for needy families since March 1, 2020, are eligible for the extension under RCW 74.08A.010(5)(a)(i)(B), regardless of whether they are current recipients. Eligible families shall only receive temporary assistance for needy families benefits that accrue after the effective date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 only if
specific funding for extending the 60-month time limit through the
2021-2023 biennium, is provided by June 30, 2021, in the omnibus
appropriations act. If specific funding for extending the 60-month
time limit through the 2021-2023 biennium is not provided by June 30,
2021, in the omnibus appropriations act, this act takes effect 90 days
after final adjournment of the legislative session in which it is
enacted."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Clarifies that the time limit extension criteria related to unemployment rates applies on or after March 1, 2020.</w:t>
      </w:r>
    </w:p>
    <w:p>
      <w:pPr>
        <w:spacing w:before="0" w:after="0" w:line="408" w:lineRule="exact"/>
        <w:ind w:left="0" w:right="0" w:firstLine="576"/>
        <w:jc w:val="left"/>
      </w:pPr>
      <w:r>
        <w:rPr/>
        <w:t xml:space="preserve">(2) Provides that a family is not required to be a current recipient to be eligible for the additional time allowed under the extension so long as they received TANF after March 1, 2020, and that the additional benefits a family may receive will accrue after the effective date of the Act.</w:t>
      </w:r>
    </w:p>
    <w:p>
      <w:pPr>
        <w:spacing w:before="0" w:after="0" w:line="408" w:lineRule="exact"/>
        <w:ind w:left="0" w:right="0" w:firstLine="576"/>
        <w:jc w:val="left"/>
      </w:pPr>
      <w:r>
        <w:rPr/>
        <w:t xml:space="preserve">(3) Removes the provision applying the Act retroactively to March 1, 2020, as well as prospectively.</w:t>
      </w:r>
    </w:p>
    <w:p>
      <w:pPr>
        <w:spacing w:before="0" w:after="0" w:line="408" w:lineRule="exact"/>
        <w:ind w:left="0" w:right="0" w:firstLine="576"/>
        <w:jc w:val="left"/>
      </w:pPr>
      <w:r>
        <w:rPr/>
        <w:t xml:space="preserve">(4) Applies a contingent effective date of July 1, 2023, only if funding for providing time limit extensions through the 2021-2023 biennium is included in the 2021-23 operating budget. If funding is not provided in the budget, the act takes effect 90 days after adjournment of the session in which it is enacted. Adds a federal severability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d01cf247ab4268" /></Relationships>
</file>