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C393B" w14:paraId="4D097B2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B4E8D">
            <w:t>5383-S2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B4E8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B4E8D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B4E8D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B4E8D">
            <w:t>238</w:t>
          </w:r>
        </w:sdtContent>
      </w:sdt>
    </w:p>
    <w:p w:rsidR="00DF5D0E" w:rsidP="00B73E0A" w:rsidRDefault="00AA1230" w14:paraId="7FC6E7B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C393B" w14:paraId="0CB4B2E0" w14:textId="7A5B37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B4E8D">
            <w:rPr>
              <w:b/>
              <w:u w:val="single"/>
            </w:rPr>
            <w:t>2SSB 5383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B4E8D">
            <w:t>H AMD TO</w:t>
          </w:r>
          <w:r w:rsidR="0048032D">
            <w:t xml:space="preserve"> APP COMM AMD</w:t>
          </w:r>
          <w:r w:rsidR="001B4E8D">
            <w:t xml:space="preserve"> (H-1463.1/21)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611</w:t>
          </w:r>
        </w:sdtContent>
      </w:sdt>
    </w:p>
    <w:p w:rsidR="00DF5D0E" w:rsidP="00605C39" w:rsidRDefault="006C393B" w14:paraId="0B3EE8D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B4E8D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B4E8D" w14:paraId="0777FD3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04/11/2021</w:t>
          </w:r>
        </w:p>
      </w:sdtContent>
    </w:sdt>
    <w:p w:rsidR="001B4E8D" w:rsidP="00C8108C" w:rsidRDefault="00DE256E" w14:paraId="2139F0C9" w14:textId="4BE186C1">
      <w:pPr>
        <w:pStyle w:val="Page"/>
      </w:pPr>
      <w:bookmarkStart w:name="StartOfAmendmentBody" w:id="0"/>
      <w:bookmarkEnd w:id="0"/>
      <w:permStart w:edGrp="everyone" w:id="40455052"/>
      <w:r>
        <w:tab/>
      </w:r>
      <w:r w:rsidR="001B4E8D">
        <w:t xml:space="preserve">On page </w:t>
      </w:r>
      <w:r w:rsidR="00DB74CD">
        <w:t>4, line 4 of the striking amendment, after "</w:t>
      </w:r>
      <w:r w:rsidR="00DB74CD">
        <w:rPr>
          <w:u w:val="single"/>
        </w:rPr>
        <w:t>within</w:t>
      </w:r>
      <w:r w:rsidR="00DB74CD">
        <w:t>" strike "</w:t>
      </w:r>
      <w:r w:rsidR="00DB74CD">
        <w:rPr>
          <w:u w:val="single"/>
        </w:rPr>
        <w:t>30</w:t>
      </w:r>
      <w:r w:rsidR="00DB74CD">
        <w:t>" and insert "</w:t>
      </w:r>
      <w:r w:rsidR="00DB74CD">
        <w:rPr>
          <w:u w:val="single"/>
        </w:rPr>
        <w:t>90</w:t>
      </w:r>
      <w:r w:rsidR="00DB74CD">
        <w:t>"</w:t>
      </w:r>
    </w:p>
    <w:p w:rsidR="00DB74CD" w:rsidP="00DB74CD" w:rsidRDefault="00DB74CD" w14:paraId="25FB7F45" w14:textId="0FA42D9F">
      <w:pPr>
        <w:pStyle w:val="RCWSLText"/>
      </w:pPr>
    </w:p>
    <w:p w:rsidR="00DB74CD" w:rsidP="00DB74CD" w:rsidRDefault="00DB74CD" w14:paraId="2876F4EB" w14:textId="1994861A">
      <w:pPr>
        <w:pStyle w:val="RCWSLText"/>
      </w:pPr>
      <w:r>
        <w:tab/>
        <w:t>On page 4, line 15 of the striking amendment, after "</w:t>
      </w:r>
      <w:r>
        <w:rPr>
          <w:u w:val="single"/>
        </w:rPr>
        <w:t>(ii) to</w:t>
      </w:r>
      <w:r>
        <w:t>" strike "</w:t>
      </w:r>
      <w:r>
        <w:rPr>
          <w:u w:val="single"/>
        </w:rPr>
        <w:t>potentially</w:t>
      </w:r>
      <w:r>
        <w:t>"</w:t>
      </w:r>
    </w:p>
    <w:p w:rsidR="00DB74CD" w:rsidP="00DB74CD" w:rsidRDefault="00DB74CD" w14:paraId="71E94AD1" w14:textId="1DE816AF">
      <w:pPr>
        <w:pStyle w:val="RCWSLText"/>
      </w:pPr>
    </w:p>
    <w:p w:rsidR="00DB74CD" w:rsidP="00DB74CD" w:rsidRDefault="00DB74CD" w14:paraId="25AF79B6" w14:textId="6EB02A83">
      <w:pPr>
        <w:pStyle w:val="RCWSLText"/>
      </w:pPr>
      <w:r>
        <w:tab/>
        <w:t>On page 4, line 19 of the striking amendment, after "</w:t>
      </w:r>
      <w:r>
        <w:rPr>
          <w:u w:val="single"/>
        </w:rPr>
        <w:t>of</w:t>
      </w:r>
      <w:r>
        <w:t>" strike "</w:t>
      </w:r>
      <w:r>
        <w:rPr>
          <w:u w:val="single"/>
        </w:rPr>
        <w:t>the project</w:t>
      </w:r>
      <w:r>
        <w:t>" and insert "</w:t>
      </w:r>
      <w:r>
        <w:rPr>
          <w:u w:val="single"/>
        </w:rPr>
        <w:t>any project within the retail service areas</w:t>
      </w:r>
      <w:r>
        <w:t xml:space="preserve">" </w:t>
      </w:r>
      <w:r>
        <w:tab/>
      </w:r>
    </w:p>
    <w:p w:rsidR="00DB74CD" w:rsidP="00DB74CD" w:rsidRDefault="00DB74CD" w14:paraId="6BBAFAA2" w14:textId="0485CF44">
      <w:pPr>
        <w:pStyle w:val="RCWSLText"/>
      </w:pPr>
      <w:r>
        <w:tab/>
        <w:t>On page 4, line 20 of the striking amendment, after "</w:t>
      </w:r>
      <w:r>
        <w:rPr>
          <w:u w:val="single"/>
        </w:rPr>
        <w:t>that</w:t>
      </w:r>
      <w:r>
        <w:t>" strike "</w:t>
      </w:r>
      <w:r w:rsidR="00FB53E8">
        <w:rPr>
          <w:u w:val="single"/>
        </w:rPr>
        <w:t>the</w:t>
      </w:r>
      <w:r w:rsidR="00334D85">
        <w:rPr>
          <w:u w:val="single"/>
        </w:rPr>
        <w:t xml:space="preserve"> project is within an unserved area</w:t>
      </w:r>
      <w:r w:rsidR="00FB53E8">
        <w:t>" and insert "</w:t>
      </w:r>
      <w:r w:rsidR="00FB53E8">
        <w:rPr>
          <w:u w:val="single"/>
        </w:rPr>
        <w:t>any federally funded or state funded</w:t>
      </w:r>
      <w:r w:rsidR="00334D85">
        <w:rPr>
          <w:u w:val="single"/>
        </w:rPr>
        <w:t xml:space="preserve"> project is within an unserved area as defined by the applicable federal or state guidelines</w:t>
      </w:r>
      <w:r w:rsidR="00FB53E8">
        <w:t>"</w:t>
      </w:r>
    </w:p>
    <w:p w:rsidR="00334D85" w:rsidP="00DB74CD" w:rsidRDefault="00334D85" w14:paraId="7B14784D" w14:textId="5B582E76">
      <w:pPr>
        <w:pStyle w:val="RCWSLText"/>
      </w:pPr>
    </w:p>
    <w:p w:rsidR="00334D85" w:rsidP="00DB74CD" w:rsidRDefault="00334D85" w14:paraId="60FB54E2" w14:textId="63212744">
      <w:pPr>
        <w:pStyle w:val="RCWSLText"/>
      </w:pPr>
      <w:r>
        <w:tab/>
        <w:t>On page 5, line 3 of the striking amendment, after "</w:t>
      </w:r>
      <w:r>
        <w:rPr>
          <w:u w:val="single"/>
        </w:rPr>
        <w:t>subsection</w:t>
      </w:r>
      <w:r>
        <w:t>" insert "</w:t>
      </w:r>
      <w:r>
        <w:rPr>
          <w:u w:val="single"/>
        </w:rPr>
        <w:t>, unless the context clearly requires otherwise</w:t>
      </w:r>
      <w:r>
        <w:t>"</w:t>
      </w:r>
    </w:p>
    <w:p w:rsidR="00334D85" w:rsidP="00DB74CD" w:rsidRDefault="00334D85" w14:paraId="09EC3805" w14:textId="462DC2E6">
      <w:pPr>
        <w:pStyle w:val="RCWSLText"/>
      </w:pPr>
    </w:p>
    <w:p w:rsidR="00334D85" w:rsidP="00DB74CD" w:rsidRDefault="00334D85" w14:paraId="649ADC67" w14:textId="438741DC">
      <w:pPr>
        <w:pStyle w:val="RCWSLText"/>
      </w:pPr>
      <w:r>
        <w:tab/>
        <w:t>On page 7, line 9 of the striking amendment, after "</w:t>
      </w:r>
      <w:r>
        <w:rPr>
          <w:u w:val="single"/>
        </w:rPr>
        <w:t>within</w:t>
      </w:r>
      <w:r>
        <w:t>" strike "</w:t>
      </w:r>
      <w:r>
        <w:rPr>
          <w:u w:val="single"/>
        </w:rPr>
        <w:t>30</w:t>
      </w:r>
      <w:r>
        <w:t>" and insert "</w:t>
      </w:r>
      <w:r>
        <w:rPr>
          <w:u w:val="single"/>
        </w:rPr>
        <w:t>90</w:t>
      </w:r>
      <w:r>
        <w:t>"</w:t>
      </w:r>
    </w:p>
    <w:p w:rsidR="00334D85" w:rsidP="00DB74CD" w:rsidRDefault="00334D85" w14:paraId="36F6798D" w14:textId="28A1EDE4">
      <w:pPr>
        <w:pStyle w:val="RCWSLText"/>
      </w:pPr>
    </w:p>
    <w:p w:rsidR="00334D85" w:rsidP="00DB74CD" w:rsidRDefault="00334D85" w14:paraId="67300B3C" w14:textId="4562804C">
      <w:pPr>
        <w:pStyle w:val="RCWSLText"/>
      </w:pPr>
      <w:r>
        <w:tab/>
        <w:t>On page 7, line 19 of the striking amendment, after "</w:t>
      </w:r>
      <w:r>
        <w:rPr>
          <w:u w:val="single"/>
        </w:rPr>
        <w:t>(ii) to</w:t>
      </w:r>
      <w:r>
        <w:t>" strike "</w:t>
      </w:r>
      <w:r>
        <w:rPr>
          <w:u w:val="single"/>
        </w:rPr>
        <w:t>potentially</w:t>
      </w:r>
      <w:r>
        <w:t>"</w:t>
      </w:r>
    </w:p>
    <w:p w:rsidR="00334D85" w:rsidP="00DB74CD" w:rsidRDefault="00334D85" w14:paraId="6EE0C49A" w14:textId="3FE33A23">
      <w:pPr>
        <w:pStyle w:val="RCWSLText"/>
      </w:pPr>
    </w:p>
    <w:p w:rsidR="00334D85" w:rsidP="00DB74CD" w:rsidRDefault="00334D85" w14:paraId="0B3A23AA" w14:textId="2B433B3C">
      <w:pPr>
        <w:pStyle w:val="RCWSLText"/>
      </w:pPr>
      <w:r>
        <w:tab/>
        <w:t>On page 7, line 23 of the striking amendment, after "</w:t>
      </w:r>
      <w:r>
        <w:rPr>
          <w:u w:val="single"/>
        </w:rPr>
        <w:t>of</w:t>
      </w:r>
      <w:r>
        <w:t>" strike "</w:t>
      </w:r>
      <w:r>
        <w:rPr>
          <w:u w:val="single"/>
        </w:rPr>
        <w:t>the project</w:t>
      </w:r>
      <w:r w:rsidR="00B91F22">
        <w:t>" and insert "</w:t>
      </w:r>
      <w:r w:rsidR="00B91F22">
        <w:rPr>
          <w:u w:val="single"/>
        </w:rPr>
        <w:t>any project within the retail service areas</w:t>
      </w:r>
      <w:r w:rsidR="00B91F22">
        <w:t>"</w:t>
      </w:r>
    </w:p>
    <w:p w:rsidR="00B91F22" w:rsidP="00DB74CD" w:rsidRDefault="00B91F22" w14:paraId="4D44248B" w14:textId="4A3AC7BB">
      <w:pPr>
        <w:pStyle w:val="RCWSLText"/>
      </w:pPr>
    </w:p>
    <w:p w:rsidR="00B91F22" w:rsidP="00DB74CD" w:rsidRDefault="00B91F22" w14:paraId="4C0D259A" w14:textId="49B826BF">
      <w:pPr>
        <w:pStyle w:val="RCWSLText"/>
      </w:pPr>
      <w:r>
        <w:lastRenderedPageBreak/>
        <w:tab/>
        <w:t>On page 7, line 24 of the striking amendment, after "</w:t>
      </w:r>
      <w:r w:rsidR="002B4B59">
        <w:rPr>
          <w:u w:val="single"/>
        </w:rPr>
        <w:t>that</w:t>
      </w:r>
      <w:r w:rsidR="002B4B59">
        <w:t>" strike "</w:t>
      </w:r>
      <w:r w:rsidR="002B4B59">
        <w:rPr>
          <w:u w:val="single"/>
        </w:rPr>
        <w:t>the project is within an unserved area</w:t>
      </w:r>
      <w:r w:rsidRPr="002B4B59" w:rsidR="002B4B59">
        <w:t>"</w:t>
      </w:r>
      <w:r w:rsidR="002B4B59">
        <w:t xml:space="preserve"> and insert "</w:t>
      </w:r>
      <w:r w:rsidR="002B4B59">
        <w:rPr>
          <w:u w:val="single"/>
        </w:rPr>
        <w:t>any federally funded or state funded project is within an unserved area as defined by the applicable federal or state guidelines</w:t>
      </w:r>
      <w:r w:rsidR="002B4B59">
        <w:t>"</w:t>
      </w:r>
    </w:p>
    <w:p w:rsidR="002B4B59" w:rsidP="00DB74CD" w:rsidRDefault="002B4B59" w14:paraId="38B35BD5" w14:textId="53D6CA2D">
      <w:pPr>
        <w:pStyle w:val="RCWSLText"/>
      </w:pPr>
    </w:p>
    <w:p w:rsidRPr="001B4E8D" w:rsidR="00DF5D0E" w:rsidP="002B4B59" w:rsidRDefault="002B4B59" w14:paraId="46D725A3" w14:textId="3C105AA1">
      <w:pPr>
        <w:pStyle w:val="RCWSLText"/>
      </w:pPr>
      <w:r>
        <w:tab/>
        <w:t>On page 8, line 5 of the striking amendment, after "</w:t>
      </w:r>
      <w:r>
        <w:rPr>
          <w:u w:val="single"/>
        </w:rPr>
        <w:t>subsection</w:t>
      </w:r>
      <w:r>
        <w:t>" insert "</w:t>
      </w:r>
      <w:r>
        <w:rPr>
          <w:u w:val="single"/>
        </w:rPr>
        <w:t>, unless the context clearly requires otherwise</w:t>
      </w:r>
      <w:r>
        <w:t>"</w:t>
      </w:r>
    </w:p>
    <w:permEnd w:id="40455052"/>
    <w:p w:rsidR="00ED2EEB" w:rsidP="001B4E8D" w:rsidRDefault="00ED2EEB" w14:paraId="46CBB72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01763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CE91BB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B4E8D" w:rsidRDefault="00D659AC" w14:paraId="103E445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55361" w:rsidP="001B4E8D" w:rsidRDefault="0096303F" w14:paraId="5A6188D3" w14:textId="02DBBEA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55361">
                  <w:t xml:space="preserve">(1) Requires a public utility district or a port district to notify and consult with the Statewide Broadband Office within 90 days, rather than 30 days, of its decision to provide retail telecommunications services within unserved areas. </w:t>
                </w:r>
              </w:p>
              <w:p w:rsidR="00955361" w:rsidP="001B4E8D" w:rsidRDefault="00955361" w14:paraId="08D01CE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1B4E8D" w:rsidRDefault="00955361" w14:paraId="3FCF6F2E" w14:textId="24409C2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</w:t>
                </w:r>
                <w:r w:rsidR="002B4B59">
                  <w:t xml:space="preserve">Modifies how the Statewide Broadband Office (Office) may utilize the telecommunications infrastructure and service plan of a public utility district or port district by: (a) </w:t>
                </w:r>
                <w:r w:rsidR="009C705B">
                  <w:t>providing</w:t>
                </w:r>
                <w:r w:rsidR="002B4B59">
                  <w:t xml:space="preserve"> that such plans will enable the Office to allocate funding, rather than potentially allocate funding, for unserved areas; (b) clarifying that the Office may use </w:t>
                </w:r>
                <w:r w:rsidR="009C705B">
                  <w:t xml:space="preserve">the </w:t>
                </w:r>
                <w:r w:rsidR="002B4B59">
                  <w:t>plans to report on the feasibility and sustainability of any project in the retail service area; and (c) providing that the Office may confirm that any federally funded or state funded project</w:t>
                </w:r>
                <w:r w:rsidR="009C705B">
                  <w:t xml:space="preserve"> is within an unserved area as defined by the applicable federal or state guidelines instead of as defined in the bill.</w:t>
                </w:r>
                <w:r w:rsidR="002B4B59">
                  <w:t xml:space="preserve"> </w:t>
                </w:r>
              </w:p>
              <w:p w:rsidRPr="007D1589" w:rsidR="001B4E53" w:rsidP="001B4E8D" w:rsidRDefault="001B4E53" w14:paraId="13E9017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50176316"/>
    </w:tbl>
    <w:p w:rsidR="00DF5D0E" w:rsidP="001B4E8D" w:rsidRDefault="00DF5D0E" w14:paraId="45D87F17" w14:textId="77777777">
      <w:pPr>
        <w:pStyle w:val="BillEnd"/>
        <w:suppressLineNumbers/>
      </w:pPr>
    </w:p>
    <w:p w:rsidR="00DF5D0E" w:rsidP="001B4E8D" w:rsidRDefault="00DE256E" w14:paraId="1D905FE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B4E8D" w:rsidRDefault="00AB682C" w14:paraId="46BC3D3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BEE32" w14:textId="77777777" w:rsidR="001B4E8D" w:rsidRDefault="001B4E8D" w:rsidP="00DF5D0E">
      <w:r>
        <w:separator/>
      </w:r>
    </w:p>
  </w:endnote>
  <w:endnote w:type="continuationSeparator" w:id="0">
    <w:p w14:paraId="1B295F1C" w14:textId="77777777" w:rsidR="001B4E8D" w:rsidRDefault="001B4E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11B" w:rsidRDefault="00C4111B" w14:paraId="5EED55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C393B" w14:paraId="6E5FE847" w14:textId="6FD1156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8032D">
      <w:t>5383-S2 AMH CORR JONC 238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C393B" w14:paraId="5BEB5E2C" w14:textId="04B9CF9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8032D">
      <w:t>5383-S2 AMH CORR JONC 238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48E37" w14:textId="77777777" w:rsidR="001B4E8D" w:rsidRDefault="001B4E8D" w:rsidP="00DF5D0E">
      <w:r>
        <w:separator/>
      </w:r>
    </w:p>
  </w:footnote>
  <w:footnote w:type="continuationSeparator" w:id="0">
    <w:p w14:paraId="623A4D61" w14:textId="77777777" w:rsidR="001B4E8D" w:rsidRDefault="001B4E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923C" w14:textId="77777777" w:rsidR="00C4111B" w:rsidRDefault="00C41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CAED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43034" wp14:editId="2429F7E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E1D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A029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D9D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B90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B68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44CFD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B3F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627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9C78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FBD41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8E81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03B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418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41B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724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6B6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4FB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841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BA4B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F89F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146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74D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BC2A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7BFE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39D2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4EF9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CD8A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24A7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DFAE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DC6C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E7BB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B72AB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9273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1ABAA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4303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F8E1D3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A02934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D9DB2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B9030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B6865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44CFDD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B3F8F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62712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9C783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FBD41B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8E814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03BB9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41896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41B2B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724FC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6B66B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4FBFF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841F8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BA4BB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F89FB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14650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74D92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BC2AB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7BFEED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39D28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4EF9A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CD8A9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24A786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DFAE8E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DC6CB8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E7BB8F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B72AB6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9273F1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1ABAAE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F38B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176D65" wp14:editId="12CCA2C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D0A3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12DF1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963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F6D1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7D0B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356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C4A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346F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A7D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354C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5A20D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DC84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ADE3E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109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D26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3AB4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1A86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ACA1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B84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7D4A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4268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1EF5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C937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6DB9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8034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72493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7061F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76D6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B6D0A3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12DF17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963ED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F6D18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7D0BED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35608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C4AD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346F8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A7D2F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354C1F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5A20D1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DC84C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ADE3E8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10928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D26A0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3AB40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1A86A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ACA16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B8425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7D4A76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426873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1EF5D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C937C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6DB9D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8034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72493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7061F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B4E8D"/>
    <w:rsid w:val="001C1B27"/>
    <w:rsid w:val="001C7F91"/>
    <w:rsid w:val="001E6675"/>
    <w:rsid w:val="00217E8A"/>
    <w:rsid w:val="00265296"/>
    <w:rsid w:val="00281CBD"/>
    <w:rsid w:val="002B4B59"/>
    <w:rsid w:val="00316CD9"/>
    <w:rsid w:val="00334D85"/>
    <w:rsid w:val="003E2FC6"/>
    <w:rsid w:val="0048032D"/>
    <w:rsid w:val="00492DDC"/>
    <w:rsid w:val="004C6615"/>
    <w:rsid w:val="004D40CE"/>
    <w:rsid w:val="005115F9"/>
    <w:rsid w:val="00523C5A"/>
    <w:rsid w:val="005E69C3"/>
    <w:rsid w:val="00605C39"/>
    <w:rsid w:val="006841E6"/>
    <w:rsid w:val="006C393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5361"/>
    <w:rsid w:val="0096303F"/>
    <w:rsid w:val="00972869"/>
    <w:rsid w:val="00984CD1"/>
    <w:rsid w:val="009C705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1F22"/>
    <w:rsid w:val="00B961E0"/>
    <w:rsid w:val="00BD0C09"/>
    <w:rsid w:val="00BF44DF"/>
    <w:rsid w:val="00C4111B"/>
    <w:rsid w:val="00C61A83"/>
    <w:rsid w:val="00C8108C"/>
    <w:rsid w:val="00C84AD0"/>
    <w:rsid w:val="00D40447"/>
    <w:rsid w:val="00D659AC"/>
    <w:rsid w:val="00DA47F3"/>
    <w:rsid w:val="00DB74CD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7EB5"/>
    <w:rsid w:val="00F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D13FF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5383-S2</BillDocName>
  <AmendType>AMH</AmendType>
  <SponsorAcronym>CORR</SponsorAcronym>
  <DrafterAcronym>JONC</DrafterAcronym>
  <DraftNumber>238</DraftNumber>
  <ReferenceNumber>2SSB 5383</ReferenceNumber>
  <Floor>H AMD TO APP COMM AMD (H-1463.1/21)</Floor>
  <AmendmentNumber> 611</AmendmentNumber>
  <Sponsors>By Representative Corry</Sponsors>
  <FloorAction>NOT ADOPTED 04/11/2021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158</TotalTime>
  <Pages>2</Pages>
  <Words>406</Words>
  <Characters>2048</Characters>
  <Application>Microsoft Office Word</Application>
  <DocSecurity>8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5383-S2 AMH CORR JONC 238</vt:lpstr>
    </vt:vector>
  </TitlesOfParts>
  <Company>Washington State Legislature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5383-S2 AMH CORR JONC 238</dc:title>
  <dc:creator>Cassie Jones</dc:creator>
  <cp:lastModifiedBy>Jones, Cassie</cp:lastModifiedBy>
  <cp:revision>9</cp:revision>
  <dcterms:created xsi:type="dcterms:W3CDTF">2021-04-05T18:46:00Z</dcterms:created>
  <dcterms:modified xsi:type="dcterms:W3CDTF">2021-04-05T23:13:00Z</dcterms:modified>
</cp:coreProperties>
</file>