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5ab9f35d04a91" /></Relationships>
</file>

<file path=word/document.xml><?xml version="1.0" encoding="utf-8"?>
<w:document xmlns:w="http://schemas.openxmlformats.org/wordprocessingml/2006/main">
  <w:body>
    <w:p>
      <w:r>
        <w:rPr>
          <w:b/>
        </w:rPr>
        <w:r>
          <w:rPr/>
          <w:t xml:space="preserve">5430</w:t>
        </w:r>
      </w:r>
      <w:r>
        <w:rPr>
          <w:b/>
        </w:rPr>
        <w:t xml:space="preserve"> </w:t>
        <w:t xml:space="preserve">AMH</w:t>
      </w:r>
      <w:r>
        <w:rPr>
          <w:b/>
        </w:rPr>
        <w:t xml:space="preserve"> </w:t>
        <w:r>
          <w:rPr/>
          <w:t xml:space="preserve">CWD</w:t>
        </w:r>
      </w:r>
      <w:r>
        <w:rPr>
          <w:b/>
        </w:rPr>
        <w:t xml:space="preserve"> </w:t>
        <w:r>
          <w:rPr/>
          <w:t xml:space="preserve">H1375.1</w:t>
        </w:r>
      </w:r>
      <w:r>
        <w:rPr>
          <w:b/>
        </w:rPr>
        <w:t xml:space="preserve"> - NOT FOR FLOOR USE</w:t>
      </w:r>
    </w:p>
    <w:p>
      <w:pPr>
        <w:ind w:left="0" w:right="0" w:firstLine="576"/>
      </w:pPr>
    </w:p>
    <w:p>
      <w:pPr>
        <w:spacing w:before="480" w:after="0" w:line="408" w:lineRule="exact"/>
      </w:pPr>
      <w:r>
        <w:rPr>
          <w:b/>
          <w:u w:val="single"/>
        </w:rPr>
        <w:t xml:space="preserve">SB 5430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2018 c 188 s 2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The governing body shall adopt a unit price of no more than 10 percent, including administrative fees, above the current unit payout value if:</w:t>
      </w:r>
    </w:p>
    <w:p>
      <w:pPr>
        <w:spacing w:before="0" w:after="0" w:line="408" w:lineRule="exact"/>
        <w:ind w:left="0" w:right="0" w:firstLine="576"/>
        <w:jc w:val="left"/>
      </w:pPr>
      <w:r>
        <w:rPr>
          <w:u w:val="single"/>
        </w:rPr>
        <w:t xml:space="preserve">(a) The best estimate funded status of the program provided by the state actuary is in excess of at least 120 percent as of July 1st of each year; and</w:t>
      </w:r>
    </w:p>
    <w:p>
      <w:pPr>
        <w:spacing w:before="0" w:after="0" w:line="408" w:lineRule="exact"/>
        <w:ind w:left="0" w:right="0" w:firstLine="576"/>
        <w:jc w:val="left"/>
      </w:pPr>
      <w:r>
        <w:rPr>
          <w:u w:val="single"/>
        </w:rPr>
        <w:t xml:space="preserve">(b) Tuition and fee increases for the academic year immediately following the July 1st best estimate funded status will be no more than the average annual percentage growth rate in the median hourly wage for Washington for the previous 14 years as the wage is determined by the federal bureau of labor statistics.</w:t>
      </w:r>
    </w:p>
    <w:p>
      <w:pPr>
        <w:spacing w:before="0" w:after="0" w:line="408" w:lineRule="exact"/>
        <w:ind w:left="0" w:right="0" w:firstLine="576"/>
        <w:jc w:val="left"/>
      </w:pPr>
      <w:r>
        <w:rPr>
          <w:u w:val="single"/>
        </w:rPr>
        <w:t xml:space="preserve">(8) For units purchased at the 2020-21 unit price, the governing body shall grant additional units to each account holder equivalent to the difference between the 2020-21 unit price and the 2020-21 unit payout value, after adjusting the unit payout value 10 percent above the current price, including administrative fees, as determined by the governing body.</w:t>
      </w:r>
    </w:p>
    <w:p>
      <w:pPr>
        <w:spacing w:before="0" w:after="0" w:line="408" w:lineRule="exact"/>
        <w:ind w:left="0" w:right="0" w:firstLine="576"/>
        <w:jc w:val="left"/>
      </w:pPr>
      <w:r>
        <w:rPr>
          <w:u w:val="single"/>
        </w:rPr>
        <w:t xml:space="preserve">(9)</w:t>
      </w:r>
      <w:r>
        <w:rPr/>
        <w:t xml:space="preserve">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April 15, 2018, the committee, in consultation with the state actuary and state investment board, shall:</w:t>
      </w:r>
    </w:p>
    <w:p>
      <w:pPr>
        <w:spacing w:before="0" w:after="0" w:line="408" w:lineRule="exact"/>
        <w:ind w:left="0" w:right="0" w:firstLine="576"/>
        <w:jc w:val="left"/>
      </w:pPr>
      <w:r>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t xml:space="preserve">(b) Establish the unit cash value price. The committee, in consultation with the state actuary and the state investment board, may revalue the unit cash value price established in this subsection </w:t>
      </w:r>
      <w:r>
        <w:t>((</w:t>
      </w:r>
      <w:r>
        <w:rPr>
          <w:strike/>
        </w:rPr>
        <w:t xml:space="preserve">(8)</w:t>
      </w:r>
      <w:r>
        <w:t>))</w:t>
      </w:r>
      <w:r>
        <w:rPr/>
        <w:t xml:space="preserve"> </w:t>
      </w:r>
      <w:r>
        <w:rPr>
          <w:u w:val="single"/>
        </w:rPr>
        <w:t xml:space="preserve">(10)</w:t>
      </w:r>
      <w:r>
        <w:rPr/>
        <w:t xml:space="preserve">(b) up to three times during the ninety-day period in which eligible purchasers may redeem units for the unit cash value price.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After the governing body completes the requirements of subsection </w:t>
      </w:r>
      <w:r>
        <w:t>((</w:t>
      </w:r>
      <w:r>
        <w:rPr>
          <w:strike/>
        </w:rPr>
        <w:t xml:space="preserve">(8)</w:t>
      </w:r>
      <w:r>
        <w:t>))</w:t>
      </w:r>
      <w:r>
        <w:rPr/>
        <w:t xml:space="preserve"> </w:t>
      </w:r>
      <w:r>
        <w:rPr>
          <w:u w:val="single"/>
        </w:rPr>
        <w:t xml:space="preserve">(10)</w:t>
      </w:r>
      <w:r>
        <w:rPr/>
        <w:t xml:space="preserve"> of this section, the governing body shall adjust, by March 1, 2019, all remaining unredeemed units purchased before July 1, 2015, as follows:</w:t>
      </w:r>
    </w:p>
    <w:p>
      <w:pPr>
        <w:spacing w:before="0" w:after="0" w:line="408" w:lineRule="exact"/>
        <w:ind w:left="0" w:right="0" w:firstLine="576"/>
        <w:jc w:val="left"/>
      </w:pPr>
      <w:r>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t xml:space="preserve">(b) For the purpose of this subsection </w:t>
      </w:r>
      <w:r>
        <w:t>((</w:t>
      </w:r>
      <w:r>
        <w:rPr>
          <w:strike/>
        </w:rPr>
        <w:t xml:space="preserve">(9)</w:t>
      </w:r>
      <w:r>
        <w:t>))</w:t>
      </w:r>
      <w:r>
        <w:rPr/>
        <w:t xml:space="preserve"> </w:t>
      </w:r>
      <w:r>
        <w:rPr>
          <w:u w:val="single"/>
        </w:rPr>
        <w:t xml:space="preserve">(11)</w:t>
      </w:r>
      <w:r>
        <w:rPr/>
        <w:t xml:space="preserve">, and for account holders with uncompleted custom monthly contracts, the governing body shall only include purchased and unredeemed units before July 1, 2015.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administrative fees in the calculation of "10 percent above the current unit price" for determining the Guaranteed Education Tuition unit price cap and the 2020-21 unit price adjustment.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353c03c95491b" /></Relationships>
</file>