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1baeee50d4121" /></Relationships>
</file>

<file path=word/document.xml><?xml version="1.0" encoding="utf-8"?>
<w:document xmlns:w="http://schemas.openxmlformats.org/wordprocessingml/2006/main">
  <w:body>
    <w:p>
      <w:r>
        <w:rPr>
          <w:b/>
        </w:rPr>
        <w:r>
          <w:rPr/>
          <w:t xml:space="preserve">5561.E</w:t>
        </w:r>
      </w:r>
      <w:r>
        <w:rPr>
          <w:b/>
        </w:rPr>
        <w:t xml:space="preserve"> </w:t>
        <w:t xml:space="preserve">AMH</w:t>
      </w:r>
      <w:r>
        <w:rPr>
          <w:b/>
        </w:rPr>
        <w:t xml:space="preserve"> </w:t>
        <w:r>
          <w:rPr/>
          <w:t xml:space="preserve">HANS</w:t>
        </w:r>
      </w:r>
      <w:r>
        <w:rPr>
          <w:b/>
        </w:rPr>
        <w:t xml:space="preserve"> </w:t>
        <w:r>
          <w:rPr/>
          <w:t xml:space="preserve">H2943.1</w:t>
        </w:r>
      </w:r>
      <w:r>
        <w:rPr>
          <w:b/>
        </w:rPr>
        <w:t xml:space="preserve"> - NOT FOR FLOOR USE</w:t>
      </w:r>
    </w:p>
    <w:p>
      <w:pPr>
        <w:ind w:left="0" w:right="0" w:firstLine="576"/>
      </w:pPr>
    </w:p>
    <w:p>
      <w:pPr>
        <w:spacing w:before="480" w:after="0" w:line="408" w:lineRule="exact"/>
      </w:pPr>
      <w:r>
        <w:rPr>
          <w:b/>
          <w:u w:val="single"/>
        </w:rPr>
        <w:t xml:space="preserve">ESB 5561</w:t>
      </w:r>
      <w:r>
        <w:t xml:space="preserve"> -</w:t>
      </w:r>
      <w:r>
        <w:t xml:space="preserve"> </w:t>
        <w:t xml:space="preserve">H AMD</w:t>
      </w:r>
      <w:r>
        <w:t xml:space="preserve"> </w:t>
      </w:r>
      <w:r>
        <w:rPr>
          <w:b/>
        </w:rPr>
        <w:t xml:space="preserve">1325</w:t>
      </w:r>
    </w:p>
    <w:p>
      <w:pPr>
        <w:spacing w:before="0" w:after="0" w:line="408" w:lineRule="exact"/>
        <w:ind w:left="0" w:right="0" w:firstLine="576"/>
        <w:jc w:val="left"/>
      </w:pPr>
      <w:r>
        <w:rPr/>
        <w:t xml:space="preserve">By Representative Hansen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and who has not been convicted or found not guilty by reason of insanity of a felony sex offense; a class A felony; or a felony offense with a maximum sentence of at least 20 years may petition a superior court to have his or her right to possess a firearm restored if:</w:t>
      </w:r>
    </w:p>
    <w:p>
      <w:pPr>
        <w:spacing w:before="0" w:after="0" w:line="408" w:lineRule="exact"/>
        <w:ind w:left="0" w:right="0" w:firstLine="576"/>
        <w:jc w:val="left"/>
      </w:pPr>
      <w:r>
        <w:rPr/>
        <w:t xml:space="preserve">(a) The person is not required to file a petition as provided in RCW 9.41.047;</w:t>
      </w:r>
    </w:p>
    <w:p>
      <w:pPr>
        <w:spacing w:before="0" w:after="0" w:line="408" w:lineRule="exact"/>
        <w:ind w:left="0" w:right="0" w:firstLine="576"/>
        <w:jc w:val="left"/>
      </w:pPr>
      <w:r>
        <w:rPr/>
        <w:t xml:space="preserve">(b) The person has spent five consecutive years, immediately preceding the petition, in the community without being convicted or found not guilty by reason of insanity of any felony, gross misdemeanor, or misdemeanor crime;</w:t>
      </w:r>
    </w:p>
    <w:p>
      <w:pPr>
        <w:spacing w:before="0" w:after="0" w:line="408" w:lineRule="exact"/>
        <w:ind w:left="0" w:right="0" w:firstLine="576"/>
        <w:jc w:val="left"/>
      </w:pPr>
      <w:r>
        <w:rPr/>
        <w:t xml:space="preserve">(c) The person has no prior felony convictions that prohibit the possession of a firearm counted as part of the offender score under RCW 9.94A.525;</w:t>
      </w:r>
    </w:p>
    <w:p>
      <w:pPr>
        <w:spacing w:before="0" w:after="0" w:line="408" w:lineRule="exact"/>
        <w:ind w:left="0" w:right="0" w:firstLine="576"/>
        <w:jc w:val="left"/>
      </w:pPr>
      <w:r>
        <w:rPr/>
        <w:t xml:space="preserve">(d) The person has no pending charges for any felony, gross misdemeanor, or misdemeanor crime;</w:t>
      </w:r>
    </w:p>
    <w:p>
      <w:pPr>
        <w:spacing w:before="0" w:after="0" w:line="408" w:lineRule="exact"/>
        <w:ind w:left="0" w:right="0" w:firstLine="576"/>
        <w:jc w:val="left"/>
      </w:pPr>
      <w:r>
        <w:rPr/>
        <w:t xml:space="preserve">(e) The person has completed any and all sentencing conditions for the underlying felony or nonfelony conviction, excluding fees and fines. The court may, for good cause, waive the requirement to provide verification of completion of all sentencing conditions; and</w:t>
      </w:r>
    </w:p>
    <w:p>
      <w:pPr>
        <w:spacing w:before="0" w:after="0" w:line="408" w:lineRule="exact"/>
        <w:ind w:left="0" w:right="0" w:firstLine="576"/>
        <w:jc w:val="left"/>
      </w:pPr>
      <w:r>
        <w:rPr/>
        <w:t xml:space="preserve">(f) During the five years immediately preceding the petition, the person has not been subject to an extreme risk, domestic violence, stalking, or sexual assault full protection order issued against the person.</w:t>
      </w:r>
    </w:p>
    <w:p>
      <w:pPr>
        <w:spacing w:before="0" w:after="0" w:line="408" w:lineRule="exact"/>
        <w:ind w:left="0" w:right="0" w:firstLine="576"/>
        <w:jc w:val="left"/>
      </w:pPr>
      <w:r>
        <w:rPr/>
        <w:t xml:space="preserve">(2)(a) A petition for restoration of a person's right to possess a firearm shall be made to:</w:t>
      </w:r>
    </w:p>
    <w:p>
      <w:pPr>
        <w:spacing w:before="0" w:after="0" w:line="408" w:lineRule="exact"/>
        <w:ind w:left="0" w:right="0" w:firstLine="576"/>
        <w:jc w:val="left"/>
      </w:pPr>
      <w:r>
        <w:rPr/>
        <w:t xml:space="preserve">(i) The superior court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(b) If a person has multiple convictions in different counties, the person must provide notice to the prosecuting attorney in each county where the convictions occurred.</w:t>
      </w:r>
    </w:p>
    <w:p>
      <w:pPr>
        <w:spacing w:before="0" w:after="0" w:line="408" w:lineRule="exact"/>
        <w:ind w:left="0" w:right="0" w:firstLine="576"/>
        <w:jc w:val="left"/>
      </w:pPr>
      <w:r>
        <w:rPr/>
        <w:t xml:space="preserve">(3) For the purposes of this section, "full protection order" has the same meaning as in RCW 7.105.010.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domestic violence protection order or no-contact order restraining the person or excluding the person from a residence (chapter 7.105 RCW,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18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w:t>
      </w:r>
      <w:r>
        <w:t>))</w:t>
      </w:r>
      <w:r>
        <w:rPr/>
        <w:t xml:space="preserve"> </w:t>
      </w:r>
      <w:r>
        <w:rPr>
          <w:u w:val="single"/>
        </w:rPr>
        <w:t xml:space="preserve">As</w:t>
      </w:r>
      <w:r>
        <w:rPr/>
        <w:t xml:space="preserve">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RCW 9.41.047 and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his or her right to do so is restored by a </w:t>
      </w:r>
      <w:r>
        <w:rPr>
          <w:u w:val="single"/>
        </w:rPr>
        <w:t xml:space="preserve">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1(1) (b) through (f)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For nonfelonies, increases the amount of time that a person must be free of any conviction or finding of not guilty by reason of insanity to five years (rather than three years) immediately preceding the petition.</w:t>
      </w:r>
    </w:p>
    <w:p>
      <w:pPr>
        <w:spacing w:before="0" w:after="0" w:line="408" w:lineRule="exact"/>
        <w:ind w:left="0" w:right="0" w:firstLine="576"/>
        <w:jc w:val="left"/>
      </w:pPr>
      <w:r>
        <w:rPr/>
        <w:t xml:space="preserve">(2) Reinstates the current law requirement that the person may not have any prior felony offenses that continue to count as part of the offender score under sentencing laws.</w:t>
      </w:r>
    </w:p>
    <w:p>
      <w:pPr>
        <w:spacing w:before="0" w:after="0" w:line="408" w:lineRule="exact"/>
        <w:ind w:left="0" w:right="0" w:firstLine="576"/>
        <w:jc w:val="left"/>
      </w:pPr>
      <w:r>
        <w:rPr/>
        <w:t xml:space="preserve">(3) Provides that the court, for good cause, may waive a requirement for the petitioner to provide verification of completion of all sentencing conditions.</w:t>
      </w:r>
    </w:p>
    <w:p>
      <w:pPr>
        <w:spacing w:before="0" w:after="0" w:line="408" w:lineRule="exact"/>
        <w:ind w:left="0" w:right="0" w:firstLine="576"/>
        <w:jc w:val="left"/>
      </w:pPr>
      <w:r>
        <w:rPr/>
        <w:t xml:space="preserve">(4) Requires that the petitioner has not been subject to certain full protection orders within the 5 years preceding the petition (rather than that specified protection orders have not been issued against the person in the 5 years preceding the petition). Defines "full protection" order to mean an order issued after notice to the respondent and an opportunity for a full hearing by the court.</w:t>
      </w:r>
    </w:p>
    <w:p>
      <w:pPr>
        <w:spacing w:before="0" w:after="0" w:line="408" w:lineRule="exact"/>
        <w:ind w:left="0" w:right="0" w:firstLine="576"/>
        <w:jc w:val="left"/>
      </w:pPr>
      <w:r>
        <w:rPr/>
        <w:t xml:space="preserve">(5) Removes the provision that established a ten-year crime free requirement for felonies that involve the use, display, or threatened use of a firearm, and that granted the court discretion to restore firearms rights in these cases if the petitioner shows sufficient rehabilitation.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65c1de87148b0" /></Relationships>
</file>