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ac9c422604f8e" /></Relationships>
</file>

<file path=word/document.xml><?xml version="1.0" encoding="utf-8"?>
<w:document xmlns:w="http://schemas.openxmlformats.org/wordprocessingml/2006/main">
  <w:body>
    <w:p>
      <w:r>
        <w:rPr>
          <w:b/>
        </w:rPr>
        <w:r>
          <w:rPr/>
          <w:t xml:space="preserve">5728-S</w:t>
        </w:r>
      </w:r>
      <w:r>
        <w:rPr>
          <w:b/>
        </w:rPr>
        <w:t xml:space="preserve"> </w:t>
        <w:t xml:space="preserve">AMH</w:t>
      </w:r>
      <w:r>
        <w:rPr>
          <w:b/>
        </w:rPr>
        <w:t xml:space="preserve"> </w:t>
        <w:r>
          <w:rPr/>
          <w:t xml:space="preserve">APP</w:t>
        </w:r>
      </w:r>
      <w:r>
        <w:rPr>
          <w:b/>
        </w:rPr>
        <w:t xml:space="preserve"> </w:t>
        <w:r>
          <w:rPr/>
          <w:t xml:space="preserve">H2873.1</w:t>
        </w:r>
      </w:r>
      <w:r>
        <w:rPr>
          <w:b/>
        </w:rPr>
        <w:t xml:space="preserve"> - NOT FOR FLOOR USE</w:t>
      </w:r>
    </w:p>
    <w:p>
      <w:pPr>
        <w:ind w:left="0" w:right="0" w:firstLine="576"/>
      </w:pPr>
    </w:p>
    <w:p>
      <w:pPr>
        <w:spacing w:before="480" w:after="0" w:line="408" w:lineRule="exact"/>
      </w:pPr>
      <w:r>
        <w:rPr>
          <w:b/>
          <w:u w:val="single"/>
        </w:rPr>
        <w:t xml:space="preserve">SSB 5728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w:t>
      </w:r>
      <w:r>
        <w:t>((</w:t>
      </w:r>
      <w:r>
        <w:rPr>
          <w:strike/>
        </w:rPr>
        <w:t xml:space="preserve">paraphernalia21</w:t>
      </w:r>
      <w:r>
        <w:t>))</w:t>
      </w:r>
      <w:r>
        <w:rPr/>
        <w:t xml:space="preserve"> </w:t>
      </w:r>
      <w:r>
        <w:rPr>
          <w:u w:val="single"/>
        </w:rPr>
        <w:t xml:space="preserve">paraphernalia</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w:t>
      </w:r>
      <w:r>
        <w:rPr>
          <w:u w:val="single"/>
        </w:rPr>
        <w:t xml:space="preserve">for deposit into the behavioral health loan repayment program account created in RCW 28B.115.135 through June 30, 2027, and into the state general fund thereafter</w:t>
      </w:r>
      <w:r>
        <w:rPr/>
        <w:t xml:space="preserve">. </w:t>
      </w:r>
      <w:r>
        <w:t>((</w:t>
      </w:r>
      <w:r>
        <w:rPr>
          <w:strike/>
        </w:rPr>
        <w:t xml:space="preserve">Money remitted shall be deposited in the state general fund.</w:t>
      </w:r>
      <w:r>
        <w:t>))</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w:t>
      </w:r>
      <w:r>
        <w:t>((</w:t>
      </w:r>
      <w:r>
        <w:rPr>
          <w:strike/>
        </w:rPr>
        <w:t xml:space="preserve">treasurer</w:t>
      </w:r>
      <w:r>
        <w:t>))</w:t>
      </w:r>
      <w:r>
        <w:rPr/>
        <w:t xml:space="preserve"> an amount equal to ten percent of the net proceeds of vehicles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w:t>
      </w:r>
      <w:r>
        <w:rPr>
          <w:u w:val="single"/>
        </w:rPr>
        <w:t xml:space="preserve">the behavioral health loan repayment program account,</w:t>
      </w:r>
      <w:r>
        <w:rPr/>
        <w:t xml:space="preserve">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state's portion of specified civil forfeiture revenues into the Behavioral Health Loan Repayment Program Account through June 30, 2027, and into the State General Fund thereafter. Adds an effective date of July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ebe7de5af4fc8" /></Relationships>
</file>