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dda9ab75247b3" /></Relationships>
</file>

<file path=word/document.xml><?xml version="1.0" encoding="utf-8"?>
<w:document xmlns:w="http://schemas.openxmlformats.org/wordprocessingml/2006/main">
  <w:body>
    <w:p>
      <w:r>
        <w:rPr>
          <w:b/>
        </w:rPr>
        <w:r>
          <w:rPr/>
          <w:t xml:space="preserve">1015-S2.E</w:t>
        </w:r>
      </w:r>
      <w:r>
        <w:rPr>
          <w:b/>
        </w:rPr>
        <w:t xml:space="preserve"> </w:t>
        <w:t xml:space="preserve">AMS</w:t>
      </w:r>
      <w:r>
        <w:rPr>
          <w:b/>
        </w:rPr>
        <w:t xml:space="preserve"> </w:t>
        <w:r>
          <w:rPr/>
          <w:t xml:space="preserve">WM</w:t>
        </w:r>
      </w:r>
      <w:r>
        <w:rPr>
          <w:b/>
        </w:rPr>
        <w:t xml:space="preserve"> </w:t>
        <w:r>
          <w:rPr/>
          <w:t xml:space="preserve">S5191.1</w:t>
        </w:r>
      </w:r>
      <w:r>
        <w:rPr>
          <w:b/>
        </w:rPr>
        <w:t xml:space="preserve"> - NOT FOR FLOOR USE</w:t>
      </w:r>
    </w:p>
    <w:p>
      <w:pPr>
        <w:ind w:left="0" w:right="0" w:firstLine="576"/>
      </w:pP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6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 however, credits may not be claimed prior to January 1, 2023.</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Beginning in fiscal year 2022, up to five percent of the program revenues may be used for all agencies' staffing and other administrative costs related to the implementation of this act. In the event that the statewide limit in section 2(3) of this act is not reached, the percentage used for administration may be increased as necessary to maintain normal staffing operations, not to exceed 10 percent.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five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10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25 percent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25 percent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No loan or investment made by a qualified lending institution using funds awarded from the equitable access to credit program may have an interest rate that exceeds 200 basis points above the Wall Street Journal prime rate when the loan or investment is made.</w:t>
      </w:r>
    </w:p>
    <w:p>
      <w:pPr>
        <w:spacing w:before="0" w:after="0" w:line="408" w:lineRule="exact"/>
        <w:ind w:left="0" w:right="0" w:firstLine="576"/>
        <w:jc w:val="left"/>
      </w:pPr>
      <w:r>
        <w:rPr/>
        <w:t xml:space="preserve">(8) Once a loan or investment made by a qualified lending institution using funds awarded from the equitable access to credit program has been repaid, the qualified lending institution must reloan the repaid funds consistent with the terms of this chapter.</w:t>
      </w:r>
    </w:p>
    <w:p>
      <w:pPr>
        <w:spacing w:before="0" w:after="0" w:line="408" w:lineRule="exact"/>
        <w:ind w:left="0" w:right="0" w:firstLine="576"/>
        <w:jc w:val="left"/>
      </w:pPr>
      <w:r>
        <w:rPr/>
        <w:t xml:space="preserve">(9)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Wall Street Journal prime rate at the time the loan or investment is made;</w:t>
      </w:r>
    </w:p>
    <w:p>
      <w:pPr>
        <w:spacing w:before="0" w:after="0" w:line="408" w:lineRule="exact"/>
        <w:ind w:left="0" w:right="0" w:firstLine="576"/>
        <w:jc w:val="left"/>
      </w:pPr>
      <w:r>
        <w:rPr/>
        <w:t xml:space="preserve">(vi) The term;</w:t>
      </w:r>
    </w:p>
    <w:p>
      <w:pPr>
        <w:spacing w:before="0" w:after="0" w:line="408" w:lineRule="exact"/>
        <w:ind w:left="0" w:right="0" w:firstLine="576"/>
        <w:jc w:val="left"/>
      </w:pPr>
      <w:r>
        <w:rPr/>
        <w:t xml:space="preserve">(vii) The number of permanent full-time equivalent jobs projected to be created in the business due to this financing;</w:t>
      </w:r>
    </w:p>
    <w:p>
      <w:pPr>
        <w:spacing w:before="0" w:after="0" w:line="408" w:lineRule="exact"/>
        <w:ind w:left="0" w:right="0" w:firstLine="576"/>
        <w:jc w:val="left"/>
      </w:pPr>
      <w:r>
        <w:rPr/>
        <w:t xml:space="preserve">(viii) Whether the loan or investment utilized a guarantee program;</w:t>
      </w:r>
    </w:p>
    <w:p>
      <w:pPr>
        <w:spacing w:before="0" w:after="0" w:line="408" w:lineRule="exact"/>
        <w:ind w:left="0" w:right="0" w:firstLine="576"/>
        <w:jc w:val="left"/>
      </w:pPr>
      <w:r>
        <w:rPr/>
        <w:t xml:space="preserve">(ix) The North American industry classification system code;</w:t>
      </w:r>
    </w:p>
    <w:p>
      <w:pPr>
        <w:spacing w:before="0" w:after="0" w:line="408" w:lineRule="exact"/>
        <w:ind w:left="0" w:right="0" w:firstLine="576"/>
        <w:jc w:val="left"/>
      </w:pPr>
      <w:r>
        <w:rPr/>
        <w:t xml:space="preserve">(x) The entity structure;</w:t>
      </w:r>
    </w:p>
    <w:p>
      <w:pPr>
        <w:spacing w:before="0" w:after="0" w:line="408" w:lineRule="exact"/>
        <w:ind w:left="0" w:right="0" w:firstLine="576"/>
        <w:jc w:val="left"/>
      </w:pPr>
      <w:r>
        <w:rPr/>
        <w:t xml:space="preserve">(xi)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(xii) The race of the primary investee(s) or borrower(s);</w:t>
      </w:r>
    </w:p>
    <w:p>
      <w:pPr>
        <w:spacing w:before="0" w:after="0" w:line="408" w:lineRule="exact"/>
        <w:ind w:left="0" w:right="0" w:firstLine="576"/>
        <w:jc w:val="left"/>
      </w:pPr>
      <w:r>
        <w:rPr/>
        <w:t xml:space="preserve">(xiii) Whether the primary investee or borrower is Hispanic or Latino; and</w:t>
      </w:r>
    </w:p>
    <w:p>
      <w:pPr>
        <w:spacing w:before="0" w:after="0" w:line="408" w:lineRule="exact"/>
        <w:ind w:left="0" w:right="0" w:firstLine="576"/>
        <w:jc w:val="left"/>
      </w:pPr>
      <w:r>
        <w:rPr/>
        <w:t xml:space="preserve">(xiv)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(10) No later than September 15th of each year, beginning in 2022,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(9) of this section.</w:t>
      </w:r>
    </w:p>
    <w:p>
      <w:pPr>
        <w:spacing w:before="0" w:after="0" w:line="408" w:lineRule="exact"/>
        <w:ind w:left="0" w:right="0" w:firstLine="576"/>
        <w:jc w:val="left"/>
      </w:pPr>
      <w:r>
        <w:rPr/>
        <w:t xml:space="preserve">(11) The department may contract for all or part of the administration of this section.</w:t>
      </w:r>
    </w:p>
    <w:p>
      <w:pPr>
        <w:spacing w:before="0" w:after="0" w:line="408" w:lineRule="exact"/>
        <w:ind w:left="0" w:right="0" w:firstLine="576"/>
        <w:jc w:val="left"/>
      </w:pPr>
      <w:r>
        <w:rPr/>
        <w:t xml:space="preserve">(12)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and administrative costs pursuant to section 3 of this act.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On page 1, line 2 of the title, after "act;" strike the remainder of the title and insert "adding a new section to chapter 82.04 RCW; adding a new chapter to Title 43 RCW; creating a new section; and providing expiration dates."</w:t>
      </w:r>
    </w:p>
    <w:p>
      <w:pPr>
        <w:spacing w:before="0" w:after="0" w:line="408" w:lineRule="exact"/>
        <w:ind w:left="0" w:right="0" w:firstLine="576"/>
        <w:jc w:val="left"/>
      </w:pPr>
      <w:r>
        <w:rPr>
          <w:u w:val="single"/>
        </w:rPr>
        <w:t xml:space="preserve">EFFECT:</w:t>
      </w:r>
      <w:r>
        <w:rPr/>
        <w:t xml:space="preserve"> (1) Changes implementation dates to assume implementation in 2022 rather than 2021.</w:t>
      </w:r>
    </w:p>
    <w:p>
      <w:pPr>
        <w:spacing w:before="0" w:after="0" w:line="408" w:lineRule="exact"/>
        <w:ind w:left="0" w:right="0" w:firstLine="576"/>
        <w:jc w:val="left"/>
      </w:pPr>
      <w:r>
        <w:rPr/>
        <w:t xml:space="preserve">(2) Reduces the duration of the tax credit from 10 years to five years.</w:t>
      </w:r>
    </w:p>
    <w:p>
      <w:pPr>
        <w:spacing w:before="0" w:after="0" w:line="408" w:lineRule="exact"/>
        <w:ind w:left="0" w:right="0" w:firstLine="576"/>
        <w:jc w:val="left"/>
      </w:pPr>
      <w:r>
        <w:rPr/>
        <w:t xml:space="preserve">(3) Limits the interest rates at which loans or investments can be made in the program to 200 basis points over the Wall Street Journal Prime Rate.</w:t>
      </w:r>
    </w:p>
    <w:p>
      <w:pPr>
        <w:spacing w:before="0" w:after="0" w:line="408" w:lineRule="exact"/>
        <w:ind w:left="0" w:right="0" w:firstLine="576"/>
        <w:jc w:val="left"/>
      </w:pPr>
      <w:r>
        <w:rPr/>
        <w:t xml:space="preserve">(4) Requires qualified lending institutions to ensure that funds received through repaid loans that utilized funds from the program continue to be subject to the requirements of the program.</w:t>
      </w:r>
    </w:p>
    <w:p>
      <w:pPr>
        <w:spacing w:before="0" w:after="0" w:line="408" w:lineRule="exact"/>
        <w:ind w:left="0" w:right="0" w:firstLine="576"/>
        <w:jc w:val="left"/>
      </w:pPr>
      <w:r>
        <w:rPr/>
        <w:t xml:space="preserve">(5) Reduces the match requirements for qualified lending institutions.</w:t>
      </w:r>
    </w:p>
    <w:p>
      <w:pPr>
        <w:spacing w:before="0" w:after="0" w:line="408" w:lineRule="exact"/>
        <w:ind w:left="0" w:right="0" w:firstLine="576"/>
        <w:jc w:val="left"/>
      </w:pPr>
      <w:r>
        <w:rPr/>
        <w:t xml:space="preserve">(6) Removes the chapter expiration date.</w:t>
      </w:r>
    </w:p>
    <w:p>
      <w:pPr>
        <w:spacing w:before="0" w:after="0" w:line="408" w:lineRule="exact"/>
        <w:ind w:left="0" w:right="0" w:firstLine="576"/>
        <w:jc w:val="left"/>
      </w:pPr>
      <w:r>
        <w:rPr/>
        <w:t xml:space="preserve">(7) Specifies that B&amp;O tax credits may not be claimed prior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cdf23c765b42ca" /></Relationships>
</file>