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fd7e91fab47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S2385.1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"from" strike "the chief law enforcement" and insert "a supervising"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23, after "gas;"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25, after "directives" strike all material through "use tear gas" on line 27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33, after "(b)" strike all material through "(c)" on page 4,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use of tear gas to be authorized by a supervising officer rather than the chief law enforcement officer; eliminates the requirement for a second notice of the intent to use tear gas after the initial notice and an opportunity to comply.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7c75186664630" /></Relationships>
</file>