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8dfdd7261480f"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ENGR</w:t>
        </w:r>
      </w:r>
      <w:r>
        <w:rPr>
          <w:b/>
        </w:rPr>
        <w:t xml:space="preserve"> </w:t>
        <w:r>
          <w:rPr/>
          <w:t xml:space="preserve">S2397.E</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 legislature finds that the clean fuel standard created in this chapter will create jobs in Washington state in the production and distribution of sustainable fuels like biofuels from agricultural feedstocks and forest residuals, hydrogen produced from renewable feedstocks, and more. In order to maximize the benefits of this policy to Washington workers while also protecting the environment for current and future generations, it is necessary to uphold and improve upon the state's siting policies. By identifying priority areas of the state for development and by developing methods to further avoid, minimize, and mitigate environmental impacts consistent with statute, rules, and guidance, Washington can protect its environment, contribute to the global fight against climate change, and support broadly shared prosperity.</w:t>
      </w:r>
    </w:p>
    <w:p>
      <w:pPr>
        <w:spacing w:before="0" w:after="0" w:line="408" w:lineRule="exact"/>
        <w:ind w:left="0" w:right="0" w:firstLine="576"/>
        <w:jc w:val="left"/>
      </w:pPr>
      <w:r>
        <w:rPr/>
        <w:t xml:space="preserve">(4)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act.</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 This point of compliance for motor vehicle fuel is the same as described in chapter 82.38 RCW;</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2035 based on the following schedule:</w:t>
      </w:r>
    </w:p>
    <w:p>
      <w:pPr>
        <w:spacing w:before="0" w:after="0" w:line="408" w:lineRule="exact"/>
        <w:ind w:left="0" w:right="0" w:firstLine="576"/>
        <w:jc w:val="left"/>
      </w:pPr>
      <w:r>
        <w:rPr/>
        <w:t xml:space="preserve">(i) No more than 0.5 percent each year in 2023 and 2024; </w:t>
      </w:r>
    </w:p>
    <w:p>
      <w:pPr>
        <w:spacing w:before="0" w:after="0" w:line="408" w:lineRule="exact"/>
        <w:ind w:left="0" w:right="0" w:firstLine="576"/>
        <w:jc w:val="left"/>
      </w:pPr>
      <w:r>
        <w:rPr/>
        <w:t xml:space="preserve">(ii) No more than an additional 1.0 percent each year beginning in 2025 through 2027; </w:t>
      </w:r>
    </w:p>
    <w:p>
      <w:pPr>
        <w:spacing w:before="0" w:after="0" w:line="408" w:lineRule="exact"/>
        <w:ind w:left="0" w:right="0" w:firstLine="576"/>
        <w:jc w:val="left"/>
      </w:pPr>
      <w:r>
        <w:rPr/>
        <w:t xml:space="preserve">(iii) No more than an additional 1.5 percent each year beginning in 2028 through 2031; and </w:t>
      </w:r>
    </w:p>
    <w:p>
      <w:pPr>
        <w:spacing w:before="0" w:after="0" w:line="408" w:lineRule="exact"/>
        <w:ind w:left="0" w:right="0" w:firstLine="576"/>
        <w:jc w:val="left"/>
      </w:pPr>
      <w:r>
        <w:rPr/>
        <w:t xml:space="preserve">(iv) No more than an additional 2.5 percent each year beginning in 2032 through 2034. </w:t>
      </w:r>
    </w:p>
    <w:p>
      <w:pPr>
        <w:spacing w:before="0" w:after="0" w:line="408" w:lineRule="exact"/>
        <w:ind w:left="0" w:right="0" w:firstLine="576"/>
        <w:jc w:val="left"/>
      </w:pPr>
      <w:r>
        <w:rPr/>
        <w:t xml:space="preserve">(b) The rules adopted under this section must not establish a reduction level beyond 10 percent of greenhouse gas emissions attributable to each unit of the fuels without explicit legislative authorization enacted subsequent to January 1, 2029. By December 1, 2028, the department must submit agency request legislation that if subsequently enacted would provide this authorization. </w:t>
      </w:r>
    </w:p>
    <w:p>
      <w:pPr>
        <w:spacing w:before="0" w:after="0" w:line="408" w:lineRule="exact"/>
        <w:ind w:left="0" w:right="0" w:firstLine="576"/>
        <w:jc w:val="left"/>
      </w:pPr>
      <w:r>
        <w:rPr/>
        <w:t xml:space="preserve">(c) The rules must establish a start date for the clean fuels program of no later than January 1, 2023, except as provided in subsection (6) of this section. </w:t>
      </w:r>
    </w:p>
    <w:p>
      <w:pPr>
        <w:spacing w:before="0" w:after="0" w:line="408" w:lineRule="exact"/>
        <w:ind w:left="0" w:right="0" w:firstLine="576"/>
        <w:jc w:val="left"/>
      </w:pPr>
      <w:r>
        <w:rPr/>
        <w:t xml:space="preserve">(6)(a) In order to coordinate and synchronize the clean fuels program with other transportation-related investments, the department must not assign compliance obligations under this act or allow for any actual credit generation until a separate additive transportation funding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act" means an act in which the combined total of new state revenues deposited into the motor vehicle fund and multimodal transportation account exceed $500,000,000 per biennium attributable solely to an increase in revenue from the enactment of the act.</w:t>
      </w:r>
    </w:p>
    <w:p>
      <w:pPr>
        <w:spacing w:before="0" w:after="0" w:line="408" w:lineRule="exact"/>
        <w:ind w:left="0" w:right="0" w:firstLine="576"/>
        <w:jc w:val="left"/>
      </w:pPr>
      <w:r>
        <w:rPr/>
        <w:t xml:space="preserve">(7) Beginning January 1, 2026, the department may not increase the applicable clean fuels program standard adopted by the department under subsection (5) of this section until the department can demonstrate the following have occurred:</w:t>
      </w:r>
    </w:p>
    <w:p>
      <w:pPr>
        <w:spacing w:before="0" w:after="0" w:line="408" w:lineRule="exact"/>
        <w:ind w:left="0" w:right="0" w:firstLine="576"/>
        <w:jc w:val="left"/>
      </w:pPr>
      <w:r>
        <w:rPr/>
        <w:t xml:space="preserve">(a) At least a 25 percent net increase in the volume of in-state liquid biofuel production and the use of agricultural feedstocks grown within the state relative to the start of the program; and</w:t>
      </w:r>
    </w:p>
    <w:p>
      <w:pPr>
        <w:spacing w:before="0" w:after="0" w:line="408" w:lineRule="exact"/>
        <w:ind w:left="0" w:right="0" w:firstLine="576"/>
        <w:jc w:val="left"/>
      </w:pPr>
      <w:r>
        <w:rPr/>
        <w:t xml:space="preserve">(b) At least one new biofuels production facility producing in excess of 60,000,000 gallons of biofuels per year has received all necessary siting, operating, and environmental permits post all applicable appeals.</w:t>
      </w:r>
    </w:p>
    <w:p>
      <w:pPr>
        <w:spacing w:before="0" w:after="0" w:line="408" w:lineRule="exact"/>
        <w:ind w:left="0" w:right="0" w:firstLine="576"/>
        <w:jc w:val="left"/>
      </w:pPr>
      <w:r>
        <w:rPr/>
        <w:t xml:space="preserve">(8) Beginning January 1, 2028, the department shall not increase the applicable clean fuels program standard adopted by the department under subsection (5) of this section until the department can demonstrate that at least one new biofuel production facility producing in excess of 60,000,000 gallons of biofuels per year has received all necessary siting, operating, and environmental permits post all applicable appeals.</w:t>
      </w:r>
    </w:p>
    <w:p>
      <w:pPr>
        <w:spacing w:before="0" w:after="0" w:line="408" w:lineRule="exact"/>
        <w:ind w:left="0" w:right="0" w:firstLine="576"/>
        <w:jc w:val="left"/>
      </w:pPr>
      <w:r>
        <w:rPr/>
        <w:t xml:space="preserve">(9) Transportation fuels exported from Washington are not subject to the greenhouse gas emissions reduction requirements in this section.</w:t>
      </w:r>
    </w:p>
    <w:p>
      <w:pPr>
        <w:spacing w:before="0" w:after="0" w:line="408" w:lineRule="exact"/>
        <w:ind w:left="0" w:right="0" w:firstLine="576"/>
        <w:jc w:val="left"/>
      </w:pPr>
      <w:r>
        <w:rPr/>
        <w:t xml:space="preserve">(10)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to hold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at the maximum price for credits.</w:t>
      </w:r>
    </w:p>
    <w:p>
      <w:pPr>
        <w:spacing w:before="0" w:after="0" w:line="408" w:lineRule="exact"/>
        <w:ind w:left="0" w:right="0" w:firstLine="576"/>
        <w:jc w:val="left"/>
      </w:pPr>
      <w:r>
        <w:rPr/>
        <w:t xml:space="preserve">(c)(i) The department shall set the maximum price for credits in a credit clearance market, which may not exceed $200 for 2028.</w:t>
      </w:r>
    </w:p>
    <w:p>
      <w:pPr>
        <w:spacing w:before="0" w:after="0" w:line="408" w:lineRule="exact"/>
        <w:ind w:left="0" w:right="0" w:firstLine="576"/>
        <w:jc w:val="left"/>
      </w:pPr>
      <w:r>
        <w:rPr/>
        <w:t xml:space="preserve">(ii) For 2029 and subsequent years, the maximum price may exceed $200, but only to the extent that a greater maximum price for credits is necessary to annually adjust for inflation, beginning on January 1, 2025,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0" w:after="0" w:line="408" w:lineRule="exact"/>
        <w:ind w:left="0" w:right="0" w:firstLine="576"/>
        <w:jc w:val="left"/>
      </w:pPr>
      <w:r>
        <w:rPr/>
        <w:t xml:space="preserve">(10)(a) The legislature intends to promote a growing and sustainable economy and to avoid leakage of emissions from low carbon fuel production to other locations. The legislature further intends to see innovative new businesses locate and grow in Washington that contribute to Washington's prosperity and environmental objectives. Consistent with the intent of the legislature to avoid the leakage of emissions to other jurisdictions, in achieving the state's greenhouse gas limits in RCW 70A.45.020, the state intends to pursue the limits in a manner that recognizes that the siting and placement of new best in class low carbon fuel production facilities that provide for the displacement of more carbon-intensive processes is in the economic and environmental interests of the state of Washington.</w:t>
      </w:r>
    </w:p>
    <w:p>
      <w:pPr>
        <w:spacing w:before="0" w:after="0" w:line="408" w:lineRule="exact"/>
        <w:ind w:left="0" w:right="0" w:firstLine="576"/>
        <w:jc w:val="left"/>
      </w:pPr>
      <w:r>
        <w:rPr/>
        <w:t xml:space="preserve">(b) For new or expanded low carbon fuel production facilities that require review under chapter 43.21C RCW, the department must evaluate the net cumulative greenhouse gas emissions of the facility. In evaluating the greenhouse gas emissions from a low carbon fuel production facility, the department shall net its direct greenhouse gas emissions with reductions associated with its fuel product compared to the carbon intensity requirements established under this chapter.</w:t>
      </w:r>
    </w:p>
    <w:p>
      <w:pPr>
        <w:spacing w:before="0" w:after="0" w:line="408" w:lineRule="exact"/>
        <w:ind w:left="0" w:right="0" w:firstLine="576"/>
        <w:jc w:val="left"/>
      </w:pPr>
      <w:r>
        <w:rPr/>
        <w:t xml:space="preserve">(c) The limits in RCW 70A.45.020 may not be the basis for denial of a permit application or for judicial review of the grant of a permit for a new or expanded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sections 3 and 4 of this act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(2), and (3)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50 percent of revenues not subject to the requirements of subsection (1) of this section must be used for activities and projects jointly determined by the department and the Washington state department of transportation based on those with the highest impact on reducing greenhouse gas emissions and decarbonizing the transportation sector. These include, but are not limited to: (a) Electrical grid and hydrogen fueling infrastructure investments; (b) electrification of the state ferry fleet; (c) alternative fuel vehicle rebate programs; and (d) infrastructure and other costs associated with the adoption of alternative fuel use by transit agencies.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2035.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30 calendar days before the commencement of a compliance period, the department shall issue an order declaring a forecast deferral if the fuel supply forecast under section 10 of this act projects that the amount of credits that will be available during the forecast compliance period will be less than 100 percent of the credits projected to be necessary for regulated parties to comply with the scheduled applicable clean fuels program standard adopted by the department for the forecast compliance period.</w:t>
      </w:r>
    </w:p>
    <w:p>
      <w:pPr>
        <w:spacing w:before="0" w:after="0" w:line="408" w:lineRule="exact"/>
        <w:ind w:left="0" w:right="0" w:firstLine="576"/>
        <w:jc w:val="left"/>
      </w:pPr>
      <w:r>
        <w:rPr/>
        <w:t xml:space="preserve">(2) An order declaring a forecast deferral under this section must set forth:</w:t>
      </w:r>
    </w:p>
    <w:p>
      <w:pPr>
        <w:spacing w:before="0" w:after="0" w:line="408" w:lineRule="exact"/>
        <w:ind w:left="0" w:right="0" w:firstLine="576"/>
        <w:jc w:val="left"/>
      </w:pPr>
      <w:r>
        <w:rPr/>
        <w:t xml:space="preserve">(a) The duration of the forecast deferral;</w:t>
      </w:r>
    </w:p>
    <w:p>
      <w:pPr>
        <w:spacing w:before="0" w:after="0" w:line="408" w:lineRule="exact"/>
        <w:ind w:left="0" w:right="0" w:firstLine="576"/>
        <w:jc w:val="left"/>
      </w:pPr>
      <w:r>
        <w:rPr/>
        <w:t xml:space="preserve">(b) The types of fuel to which the forecast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clean fuels program standard during the forecast deferral:</w:t>
      </w:r>
    </w:p>
    <w:p>
      <w:pPr>
        <w:spacing w:before="0" w:after="0" w:line="408" w:lineRule="exact"/>
        <w:ind w:left="0" w:right="0" w:firstLine="576"/>
        <w:jc w:val="left"/>
      </w:pPr>
      <w:r>
        <w:rPr/>
        <w:t xml:space="preserve">(i) Temporarily adjusting the scheduled applicable clean fuels program standard to a standard identified in the order that better reflects the forecast availability of credits during the forecast compliance period and requiring regulated parties to comply with the temporary standard;</w:t>
      </w:r>
    </w:p>
    <w:p>
      <w:pPr>
        <w:spacing w:before="0" w:after="0" w:line="408" w:lineRule="exact"/>
        <w:ind w:left="0" w:right="0" w:firstLine="576"/>
        <w:jc w:val="left"/>
      </w:pPr>
      <w:r>
        <w:rPr/>
        <w:t xml:space="preserve">(ii) Requiring regulated parties to comply only with the clean fuels program standard applicable during the compliance period prior to the forecast compliance period; or</w:t>
      </w:r>
    </w:p>
    <w:p>
      <w:pPr>
        <w:spacing w:before="0" w:after="0" w:line="408" w:lineRule="exact"/>
        <w:ind w:left="0" w:right="0" w:firstLine="576"/>
        <w:jc w:val="left"/>
      </w:pPr>
      <w:r>
        <w:rPr/>
        <w:t xml:space="preserve">(iii) Suspending deficit accrual for part or all of the forecast deferral period.</w:t>
      </w:r>
    </w:p>
    <w:p>
      <w:pPr>
        <w:spacing w:before="0" w:after="0" w:line="408" w:lineRule="exact"/>
        <w:ind w:left="0" w:right="0" w:firstLine="576"/>
        <w:jc w:val="left"/>
      </w:pPr>
      <w:r>
        <w:rPr/>
        <w:t xml:space="preserve">(3)(a) In implementing a forecast deferral, the department may take an action for deferring compliance with the clean fuels program standard other than, or in addition to, selecting a method under subsection (2)(c) of this section only if the department determines that none of the methods under subsection (2)(c) of this section will provide a sufficient mechanism for containing the costs of compliance with the clean fuels program standards during the forecast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 forecast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w:t>
      </w:r>
    </w:p>
    <w:p>
      <w:pPr>
        <w:spacing w:before="0" w:after="0" w:line="408" w:lineRule="exact"/>
        <w:ind w:left="0" w:right="0" w:firstLine="576"/>
        <w:jc w:val="left"/>
      </w:pPr>
      <w:r>
        <w:rPr/>
        <w:t xml:space="preserve">(D) The majority and minority leaders of the senate; and</w:t>
      </w:r>
    </w:p>
    <w:p>
      <w:pPr>
        <w:spacing w:before="0" w:after="0" w:line="408" w:lineRule="exact"/>
        <w:ind w:left="0" w:right="0" w:firstLine="576"/>
        <w:jc w:val="left"/>
      </w:pPr>
      <w:r>
        <w:rPr/>
        <w:t xml:space="preserve">(E) The majority and minority leaders of the house of representatives.</w:t>
      </w:r>
    </w:p>
    <w:p>
      <w:pPr>
        <w:spacing w:before="0" w:after="0" w:line="408" w:lineRule="exact"/>
        <w:ind w:left="0" w:right="0" w:firstLine="576"/>
        <w:jc w:val="left"/>
      </w:pPr>
      <w:r>
        <w:rPr/>
        <w:t xml:space="preserve">(4) The duration of a forecast deferral may not be less than one calendar quarter or longer than one compliance period. Only the department may terminate, by order, a forecast deferral before the expiration date of the forecast deferral. Termination of a forecast deferral is effective on the first day of the next calendar quarter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 </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0" w:after="0" w:line="408" w:lineRule="exact"/>
        <w:ind w:left="0" w:right="0" w:firstLine="576"/>
        <w:jc w:val="left"/>
      </w:pPr>
      <w:r>
        <w:rPr/>
        <w:t xml:space="preserve">(3) All rule making authorized under this act must be conducted according to the standards for significant legislative rules provided in RCW 34.05.328.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28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28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28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28 of this act) RCW, the requirements of chapter 70A.--- (the new chapter created in section 28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28 of this act) RCW, the requirements of chapter 70A.--- (the new chapter created in section 28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University's energy program must initiate a least conflict priority clean energy project siting program in coordination with the energy facility site evaluation council, the department of ecology, the department of commerce, the department of fish and wildlife, local governments, clean energy stakeholders, conservation stakeholders, and Indian tribes. This program must engage all relevant agencies, stakeholders, and Indian tribes to identify priority areas in Washington state with the least amount of potential environmental impact and other conflict over competing land uses in the siting of major clean energy projects with the potential to produce significant volumes of transportation fuel with a low carbon intensity, or that support the production of such transportation fuel. Washington State University's energy program may identify different priority areas for different types of industrial or manufacturing clean energy projects with the potential to produce significant volumes of transportation fuel with a low carbon intensity in sectors including, but not limited to, biofuels, agricultural and forest biomass, hydrogen produced via electrolysis of water, and renewable natural gas.</w:t>
      </w:r>
    </w:p>
    <w:p>
      <w:pPr>
        <w:spacing w:before="0" w:after="0" w:line="408" w:lineRule="exact"/>
        <w:ind w:left="0" w:right="0" w:firstLine="576"/>
        <w:jc w:val="left"/>
      </w:pPr>
      <w:r>
        <w:rPr/>
        <w:t xml:space="preserve">(2) A project proposed in an area designated under subsection (1) of this section does not receive a guarantee or assurance of being permitted and is subject to review consistent with chapter 43.21C RCW and applicable environmental permit processes. Project proponents are not limited to proposing projects in identified least conflict zones.</w:t>
      </w:r>
    </w:p>
    <w:p>
      <w:pPr>
        <w:spacing w:before="0" w:after="0" w:line="408" w:lineRule="exact"/>
        <w:ind w:left="0" w:right="0" w:firstLine="576"/>
        <w:jc w:val="left"/>
      </w:pPr>
      <w:r>
        <w:rPr/>
        <w:t xml:space="preserve">(3) The identification of priority areas completed in subsection (1) of this section must be updated at least once every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in consultation with the department of commerce, must periodically convene stakeholders, including all of those identified in section 26 of this act, Indian tribes, and the member agencies of the energy facility site evaluation council to identify and discuss avoidance, minimization, and mitigation of significant likely environmental impacts of clean energy projects specified in section 26 of this act. The environmental impacts identified and discussed must include, but are not limited to, air quality impacts, impacts to land and aquatic habitats, and wildlife impacts that may result from clean energy projects. The department must periodically provide a report to the appropriate committees of the house of representatives and the senate identifying mitigation resources, funding needs, and potential policies and programs to modify permitting and environmental review necessary for construction of clean energy projects with the potential to produce significant volumes of transportation fuel with a low carbon intensity, or that support the production of such transportation fuel,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04/08/2021</w:t>
      </w:r>
    </w:p>
    <w:p>
      <w:pPr>
        <w:spacing w:before="0" w:after="0" w:line="408" w:lineRule="exact"/>
        <w:ind w:left="0" w:right="0" w:firstLine="576"/>
        <w:jc w:val="left"/>
      </w:pPr>
      <w:r>
        <w:rPr/>
        <w:t xml:space="preserve">On page 1, line 2 of the title, after "fuel;" strike the remainder of the title and insert "amending RCW 46.17.365, 46.25.100, 46.20.202, 46.25.052, 46.25.060, 70A.15.3150, 70A.15.3160, 19.112.110, and 19.112.120; adding a new section to chapter 82.04 RCW; adding a new section to chapter 28B.30 RCW; adding a new section to chapter 43.21A RCW; adding a new chapter to Title 70A RCW; creating a new section; prescribing penalties; providing a contingent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fc48cbf094f94" /></Relationships>
</file>