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4040ad53b409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1198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HASE</w:t>
        </w:r>
      </w:r>
      <w:r>
        <w:rPr>
          <w:b/>
        </w:rPr>
        <w:t xml:space="preserve"> </w:t>
        <w:r>
          <w:rPr/>
          <w:t xml:space="preserve">S2769.1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1198</w:t>
      </w:r>
      <w:r>
        <w:t xml:space="preserve"> -</w:t>
      </w:r>
      <w:r>
        <w:t xml:space="preserve"> </w:t>
        <w:t xml:space="preserve">S AMD TO TRAN COMM AMD (S-2239.1/21)</w:t>
      </w:r>
      <w:r>
        <w:t xml:space="preserve"> </w:t>
      </w:r>
      <w:r>
        <w:rPr>
          <w:b/>
        </w:rPr>
        <w:t xml:space="preserve">711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Hasegawa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17, after "more" insert "</w:t>
      </w:r>
      <w:r>
        <w:rPr>
          <w:u w:val="single"/>
        </w:rPr>
        <w:t xml:space="preserve">operated by a county or operated by a port district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Provides that the Commercial Aviation Coordinating Commission's recommendations may include expansion of current aviation facilities, excluding those located in a county with a population of two million or more operated by a county or operated by a port district with the highest volume of deplanements. The underlying striking amendment excludes only the aviation facility located in a county with a population of two million or more with the highest volume of deplanements.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205e9f29374b15" /></Relationships>
</file>