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87e9b7a6045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40,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Except for ordinances adopted before January 1, 2021, a local government may only adopt ordinances that provide requirements for terminating a residential tenancy for cause if such ordinances are consistent with and comply with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8, after "59.18 RCW;" insert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local governments to adopt ordinances providing causes to terminate a residential tenancy only if in compliance with the bill, with the exception of ordinances adopted before January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e45d35c3647d2" /></Relationships>
</file>