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25c91ba1a4998"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WAGO</w:t>
        </w:r>
      </w:r>
      <w:r>
        <w:rPr>
          <w:b/>
        </w:rPr>
        <w:t xml:space="preserve"> </w:t>
        <w:r>
          <w:rPr/>
          <w:t xml:space="preserve">S2813.1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761</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a person qualified pursuant to RCW 34.05.530</w:t>
      </w:r>
      <w:r>
        <w:rPr>
          <w:u w:val="single"/>
        </w:rPr>
        <w:t xml:space="preserve">; or</w:t>
      </w:r>
    </w:p>
    <w:p>
      <w:pPr>
        <w:spacing w:before="0" w:after="0" w:line="408" w:lineRule="exact"/>
        <w:ind w:left="0" w:right="0" w:firstLine="576"/>
        <w:jc w:val="left"/>
      </w:pPr>
      <w:r>
        <w:rPr>
          <w:u w:val="single"/>
        </w:rPr>
        <w:t xml:space="preserve">(c) Any person who:</w:t>
      </w:r>
    </w:p>
    <w:p>
      <w:pPr>
        <w:spacing w:before="0" w:after="0" w:line="408" w:lineRule="exact"/>
        <w:ind w:left="0" w:right="0" w:firstLine="576"/>
        <w:jc w:val="left"/>
      </w:pPr>
      <w:r>
        <w:rPr>
          <w:u w:val="single"/>
        </w:rPr>
        <w:t xml:space="preserve">(i) Is prejudiced or likely to be prejudiced by the action of the city or county planning under this chapter; and</w:t>
      </w:r>
    </w:p>
    <w:p>
      <w:pPr>
        <w:spacing w:before="0" w:after="0" w:line="408" w:lineRule="exact"/>
        <w:ind w:left="0" w:right="0" w:firstLine="576"/>
        <w:jc w:val="left"/>
      </w:pPr>
      <w:r>
        <w:rPr>
          <w:u w:val="single"/>
        </w:rPr>
        <w:t xml:space="preserve">(ii) Is likely to suffer irreparable harm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761</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On page 30, line 7, after "36.70A.190," strike "and"</w:t>
      </w:r>
    </w:p>
    <w:p>
      <w:pPr>
        <w:spacing w:before="0" w:after="0" w:line="408" w:lineRule="exact"/>
        <w:ind w:left="0" w:right="0" w:firstLine="576"/>
        <w:jc w:val="left"/>
      </w:pPr>
      <w:r>
        <w:rPr/>
        <w:t xml:space="preserve">On page 30, line 8, after "36.70A.210" insert ", and 36.70A.280"</w:t>
      </w:r>
    </w:p>
    <w:p>
      <w:pPr>
        <w:spacing w:before="0" w:after="0" w:line="408" w:lineRule="exact"/>
        <w:ind w:left="0" w:right="0" w:firstLine="576"/>
        <w:jc w:val="left"/>
      </w:pPr>
      <w:r>
        <w:rPr>
          <w:u w:val="single"/>
        </w:rPr>
        <w:t xml:space="preserve">EFFECT:</w:t>
      </w:r>
      <w:r>
        <w:rPr/>
        <w:t xml:space="preserve"> Removes the ability to establish standing to petition the Growth Management Hearings Board (GMHB) by participating orally or in writing in the matter when it was before a city or county. Removes the ability for the Governor to authorize a person or organization to bring a petition before the GMHB. Adds the ability for a person or organization to establish standing to bring a petition before the GMHB if the person or organization is prejudiced or will be prejudiced by the action of the city or county, and is likely to suffer irreparable harm if the contested action is upheld.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526411d1c46cf" /></Relationships>
</file>