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51276c6fd1405c"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WARN</w:t>
        </w:r>
      </w:r>
      <w:r>
        <w:rPr>
          <w:b/>
        </w:rPr>
        <w:t xml:space="preserve"> </w:t>
        <w:r>
          <w:rPr/>
          <w:t xml:space="preserve">S2812.1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754</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18, after line 39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by using land use planning tools, which may include adoption of portions or all of the wildland urban interface code developed by the international code council or developing building and maintenance standards consistent with the firewise U.S.A. program or similar program designed to reduce wildfire risk.</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754</w:t>
      </w:r>
    </w:p>
    <w:p>
      <w:pPr>
        <w:spacing w:before="0" w:after="0" w:line="408" w:lineRule="exact"/>
        <w:ind w:left="0" w:right="0" w:firstLine="576"/>
        <w:jc w:val="left"/>
      </w:pPr>
      <w:r>
        <w:rPr/>
        <w:t xml:space="preserve">By Senator Warnick</w:t>
      </w:r>
    </w:p>
    <w:p>
      <w:pPr>
        <w:jc w:val="right"/>
      </w:pPr>
      <w:r>
        <w:rPr>
          <w:b/>
        </w:rPr>
        <w:t xml:space="preserve">NOT CONSIDERED 04/26/2021</w:t>
      </w:r>
    </w:p>
    <w:p>
      <w:pPr>
        <w:spacing w:before="0" w:after="0" w:line="408" w:lineRule="exact"/>
        <w:ind w:left="0" w:right="0" w:firstLine="576"/>
        <w:jc w:val="left"/>
      </w:pPr>
      <w:r>
        <w:rPr/>
        <w:t xml:space="preserve">On page 30, line 8, after "36.70A.130" insert "and 36.70A.070"</w:t>
      </w:r>
    </w:p>
    <w:p>
      <w:pPr>
        <w:spacing w:before="0" w:after="0" w:line="408" w:lineRule="exact"/>
        <w:ind w:left="0" w:right="0" w:firstLine="576"/>
        <w:jc w:val="left"/>
      </w:pPr>
      <w:r>
        <w:rPr>
          <w:u w:val="single"/>
        </w:rPr>
        <w:t xml:space="preserve">EFFECT:</w:t>
      </w:r>
      <w:r>
        <w:rPr/>
        <w:t xml:space="preserve"> Requires, in the comprehensive plan under the Growth Management Act, that the land use element reduce and mitigate the risk to lives and property posed by wildfires by using land use planning tools, which may include adoption of the wildland urban interface code developed by the international code council or developing building and maintenance standards consistent with the firewise U.S.A. program or similar program designed to reduce wildfire risk.</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8027a952e14db8" /></Relationships>
</file>