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4a41649b745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1336</w:t>
      </w:r>
      <w:r>
        <w:t xml:space="preserve"> -</w:t>
      </w:r>
      <w:r>
        <w:t xml:space="preserve"> </w:t>
        <w:t xml:space="preserve">S AMD TO ENET COMM AMD (S-2328.2/21)</w:t>
      </w:r>
      <w:r>
        <w:t xml:space="preserve"> </w:t>
      </w:r>
      <w:r>
        <w:rPr>
          <w:b/>
        </w:rPr>
        <w:t xml:space="preserve">615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"title." insert "</w:t>
      </w:r>
      <w:r>
        <w:rPr>
          <w:u w:val="single"/>
        </w:rPr>
        <w:t xml:space="preserve">The state auditor shall establish or update the accounting standards provided under this subsection by January 1, 2022.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auditor to establish or update, by January 1, 2022, the accounting standards used by a public utility district providing wholesale or retail telecommunications services when separately accounting for any revenue and expenditures.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39be01ca545d0" /></Relationships>
</file>