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cfafe5ad74d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16, strike all of sections 5 through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4, after "54.16 RCW;" strike all material through "36.01 RCW;"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authorization for towns, second-class cities, and counties to provide telecommunications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e91762641420d" /></Relationships>
</file>