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a47fedc862428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1590-S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S5267.1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1590</w:t>
      </w:r>
      <w:r>
        <w:t xml:space="preserve"> -</w:t>
      </w:r>
      <w:r>
        <w:t xml:space="preserve"> </w:t>
        <w:t xml:space="preserve">S AMD TO WM COMM AMD (S-4802.2/22)</w:t>
      </w:r>
      <w:r>
        <w:t xml:space="preserve"> </w:t>
      </w:r>
      <w:r>
        <w:rPr>
          <w:b/>
        </w:rPr>
        <w:t xml:space="preserve">1334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NOT ADOPTED 03/03/2022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1, line 19, strike all of section 2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In the 2021-22 school year, the superintendent of public instruction must provide learning loss grants to each school district, charter school, and state-tribal education compact school in the amount of $260 multiplied by the school district, charter school, or state-tribal education compact school's average full-time equivalent student enrollment in the prior school year."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Removes the provision that directs OSPI to provide enrollment stabilization funding to local education agencies in the 2021-22 school year.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Provides learning loss grant funding to each school district, charter school, and state-tribal education compact school in the 2021-22 school year in the amount of $260 multiplied by the district or school's average full-time equivalent student enrollment in the prior school year.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c44951ae8a41e2" /></Relationships>
</file>