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3900cb91c47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8, after "July 1," strike "2019" and insert "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"untraceable firearm" by removing its current application to firearms manufactured after July 1, 2019, and instead applying it to firearms manufactured after July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2cc82d09e4b29" /></Relationships>
</file>