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d350b1534d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use.</w:t>
      </w:r>
      <w:r>
        <w:rPr/>
        <w:t xml:space="preserve">" insert "</w:t>
      </w:r>
      <w:r>
        <w:rPr>
          <w:u w:val="single"/>
        </w:rPr>
        <w:t xml:space="preserve">A city, town, or county in which the median price for a single-family residence exceeds $200,000 may not adopt or enforce the statewide residential reach code.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the adoption and enforcement of the statewide residential reach code in jurisdictions where the median price for a single-family residence exceeds $200,000.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450de6b241b4" /></Relationships>
</file>