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68b368c462493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1770-S.E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S5034.1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1770</w:t>
      </w:r>
      <w:r>
        <w:t xml:space="preserve"> -</w:t>
      </w:r>
      <w:r>
        <w:t xml:space="preserve"> </w:t>
        <w:t xml:space="preserve">S AMD TO ENET COMM AMD (S-4748.1/22)</w:t>
      </w:r>
      <w:r>
        <w:t xml:space="preserve"> </w:t>
      </w:r>
      <w:r>
        <w:rPr>
          <w:b/>
        </w:rPr>
        <w:t xml:space="preserve">1274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40, after "</w:t>
      </w:r>
      <w:r>
        <w:rPr>
          <w:u w:val="single"/>
        </w:rPr>
        <w:t xml:space="preserve">2024</w:t>
      </w:r>
      <w:r>
        <w:rPr/>
        <w:t xml:space="preserve">" insert "</w:t>
      </w:r>
      <w:r>
        <w:rPr>
          <w:u w:val="single"/>
        </w:rPr>
        <w:t xml:space="preserve">. A city, town, or county that adopts the statewide residential reach code is authorized to, and shall, process all permit applications for residential construction within 30 days of receiving a complete application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an authorization and requirement for cities, towns, and counties that adopt the statewide residential reach code to process all permit applications for residential construction within 30 days of receiving a complete application.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32ef5049346ae" /></Relationships>
</file>