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76915ff37424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1812-S2.E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S5208.1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1812</w:t>
      </w:r>
      <w:r>
        <w:t xml:space="preserve"> -</w:t>
      </w:r>
      <w:r>
        <w:t xml:space="preserve"> </w:t>
        <w:t xml:space="preserve">S AMD TO ENET COMM AMD (S-4749.4/22)</w:t>
      </w:r>
      <w:r>
        <w:t xml:space="preserve"> </w:t>
      </w:r>
      <w:r>
        <w:rPr>
          <w:b/>
        </w:rPr>
        <w:t xml:space="preserve">1340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at the beginning of line 28, strike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18, line 30, after "certification" strike all material through "</w:t>
      </w:r>
      <w:r>
        <w:rPr>
          <w:u w:val="single"/>
        </w:rPr>
        <w:t xml:space="preserve">preempted</w:t>
      </w:r>
      <w:r>
        <w:rPr/>
        <w:t xml:space="preserve">" on page 19, line 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limitation that, during the adjudicative proceeding, only issues can be raised that have been previously raised in writing during the application review process or public comment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d6d1279de45d3" /></Relationships>
</file>