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8e2f6657b4d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S5018.1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1851</w:t>
      </w:r>
      <w:r>
        <w:t xml:space="preserve"> -</w:t>
      </w:r>
      <w:r>
        <w:t xml:space="preserve"> </w:t>
        <w:t xml:space="preserve">S AMD TO HLTC COMM AMD (S-4883.1/22)</w:t>
      </w:r>
      <w:r>
        <w:t xml:space="preserve"> </w:t>
      </w:r>
      <w:r>
        <w:rPr>
          <w:b/>
        </w:rPr>
        <w:t xml:space="preserve">1281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A physician assistant, advanced registered nurse practitioner, or</w:t>
      </w:r>
      <w:r>
        <w:rPr>
          <w:u w:val="single"/>
        </w:rPr>
        <w:t xml:space="preserve"> other health care provider acting within the provider's scope of</w:t>
      </w:r>
      <w:r>
        <w:rPr>
          <w:u w:val="single"/>
        </w:rPr>
        <w:t xml:space="preserve"> practice may not terminate a pregnancy unless a physician is physically present during the procedure.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physician assistants, advanced registered nurse practitioners, or other health care providers acting within the provider's scope of practice from terminating a pregnancy unless a physician is physically present during the procedure.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480ed95154cef" /></Relationships>
</file>