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c547228a94f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S1538.1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at the beginning of line 33, strike all material through "</w:t>
      </w:r>
      <w:r>
        <w:rPr>
          <w:strike/>
        </w:rPr>
        <w:t xml:space="preserve">(b)</w:t>
      </w:r>
      <w:r>
        <w:t>))</w:t>
      </w:r>
      <w:r>
        <w:rPr/>
        <w:t xml:space="preserve">" on line 35 and insert "the following records of the commission are confidential and exempt from public disclosure: (a) The contents of personnel action reports filed under RCW 43.101.135 or 43.101.136; 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beginning on line 36, after "commission" strike "</w:t>
      </w:r>
      <w:r>
        <w:rPr>
          <w:u w:val="single"/>
        </w:rPr>
        <w:t xml:space="preserve">as part of an initial background investigation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32, line 37, after "RCW 43.101.095" strike all material through "</w:t>
      </w:r>
      <w:r>
        <w:rPr>
          <w:u w:val="single"/>
        </w:rPr>
        <w:t xml:space="preserve">disclosure</w:t>
      </w:r>
      <w:r>
        <w:rPr/>
        <w:t xml:space="preserve">." on page 33, line 2, and insert "(5) or 43.101.096; and (c) all investigative files of the commission compiled in carrying out the responsibilities of the commission under this chapter."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current law regarding public disclosure of contents of personnel action reports.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3370073a04a6e" /></Relationships>
</file>