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9162057d14d2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S4592.1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after line 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28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 6 of this act takes effect only when the federal government does not provide railroad employees with 12 workweeks of leave during any 12-month period."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5065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the remainder of the title and insert "prescribing penalties; and providing a contingent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section 6 of the act does not take effect if the federal government provides railroad employees with 12 workweeks of leave during any 12-month period.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a84a44b6e468b" /></Relationships>
</file>