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d4e99e3354a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S4675.1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11, after "law" insert "</w:t>
      </w:r>
      <w:r>
        <w:rPr>
          <w:u w:val="single"/>
        </w:rPr>
        <w:t xml:space="preserve">including contracted agents of law enforcement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35, after "</w:t>
      </w:r>
      <w:r>
        <w:rPr>
          <w:u w:val="single"/>
        </w:rPr>
        <w:t xml:space="preserve">addresses,</w:t>
      </w:r>
      <w:r>
        <w:rPr/>
        <w:t xml:space="preserve">" strike "</w:t>
      </w:r>
      <w:r>
        <w:rPr>
          <w:u w:val="single"/>
        </w:rPr>
        <w:t xml:space="preserve">license plate numbers,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35, after "</w:t>
      </w:r>
      <w:r>
        <w:rPr>
          <w:u w:val="single"/>
        </w:rPr>
        <w:t xml:space="preserve">license numbers,</w:t>
      </w:r>
      <w:r>
        <w:rPr/>
        <w:t xml:space="preserve">" strike "</w:t>
      </w:r>
      <w:r>
        <w:rPr>
          <w:u w:val="single"/>
        </w:rPr>
        <w:t xml:space="preserve">vehicle identification numbers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Allows the confidential use of motor vehicle accident and supplemental reports by contracted agents of law enforcement.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requirements that license plate numbers and vehicle identification numbers be redacted before disclosure of motor vehicle accident and supplemental reports.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40645d4f04a51" /></Relationships>
</file>