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d17e6b314e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S0755.1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</w:t>
      </w:r>
      <w:r>
        <w:rPr>
          <w:u w:val="single"/>
        </w:rPr>
        <w:t xml:space="preserve">offenders</w:t>
      </w:r>
      <w:r>
        <w:rPr/>
        <w:t xml:space="preserve">" strike "</w:t>
      </w:r>
      <w:r>
        <w:rPr>
          <w:u w:val="single"/>
        </w:rPr>
        <w:t xml:space="preserve">convicted of</w:t>
      </w:r>
      <w:r>
        <w:rPr/>
        <w:t xml:space="preserve">" and insert "</w:t>
      </w:r>
      <w:r>
        <w:rPr>
          <w:u w:val="single"/>
        </w:rPr>
        <w:t xml:space="preserve">currently serving a term of confinement 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certain incarcerated individuals who are currently serving a term of confinement for any sex offense, violence offense, or crime against a person offense are not eligible for the graduated reentry program under subsection (1)(b).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401a5b6d34dc4" /></Relationships>
</file>