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a9709e50d42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S2422.1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6, after "(1)" insert "The legislature intends to allow the program's compliance obligations to take effect even if a separate additive transportation funding act is not enacted.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43, beginning on line 13, strike all of subsection (7)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that would prevent the cap and invest program's compliance obligations from taking effect until a separate additive transportation funding act is enacted.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e94ab7391483e" /></Relationships>
</file>