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dfd9704184305"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GILD</w:t>
        </w:r>
      </w:r>
      <w:r>
        <w:rPr>
          <w:b/>
        </w:rPr>
        <w:t xml:space="preserve"> </w:t>
        <w:r>
          <w:rPr/>
          <w:t xml:space="preserve">S1836.1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337</w:t>
      </w:r>
    </w:p>
    <w:p>
      <w:pPr>
        <w:spacing w:before="0" w:after="0" w:line="408" w:lineRule="exact"/>
        <w:ind w:left="0" w:right="0" w:firstLine="576"/>
        <w:jc w:val="left"/>
      </w:pPr>
      <w:r>
        <w:rPr/>
        <w:t xml:space="preserve">By Senator Gildon</w:t>
      </w:r>
    </w:p>
    <w:p>
      <w:pPr>
        <w:jc w:val="right"/>
      </w:pPr>
      <w:r>
        <w:rPr>
          <w:b/>
        </w:rPr>
        <w:t xml:space="preserve">ADOPTED 03/04/2021</w:t>
      </w:r>
    </w:p>
    <w:p>
      <w:pPr>
        <w:spacing w:before="0" w:after="0" w:line="408" w:lineRule="exact"/>
        <w:ind w:left="0" w:right="0" w:firstLine="576"/>
        <w:jc w:val="left"/>
      </w:pPr>
      <w:r>
        <w:rPr/>
        <w:t xml:space="preserve">On page 3, beginning on line 10, after "for" strike all material through ""Tenant"" on line 11 and insert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w:t>
      </w:r>
    </w:p>
    <w:p>
      <w:pPr>
        <w:spacing w:before="0" w:after="0" w:line="408" w:lineRule="exact"/>
        <w:ind w:left="0" w:right="0" w:firstLine="576"/>
        <w:jc w:val="left"/>
      </w:pPr>
      <w:r>
        <w:rPr>
          <w:u w:val="single"/>
        </w:rPr>
        <w:t xml:space="preserve">EFFECT:</w:t>
      </w:r>
      <w:r>
        <w:rPr/>
        <w:t xml:space="preserve"> Requires individual stays in transient lodging of more than 30 days prior to March 1, 2020, for the individual to be considered a tenant eligible for protections under the bill. Excludes individuals with stays in transient lodging of more than 30 days after March 1, 2020, tenant protection eligibility if the hotel/motel or camping area has provided a seven-day eviction notice that includes certain information and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1669e71c94fa2" /></Relationships>
</file>