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38a16e4962464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5263-S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S1760.1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5263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287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WITHDRAWN 03/05/2021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Strike everything after the enacting clause and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(1) The legislature shall convene a work group to make recommendations regarding what circumstances would be appropriate to continue to allow a bar against civil lawsuits under RCW 4.24.420.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work group must include: (a) One member from each caucus of the Washington state house of representatives and senate; (b) one representative from the association of superior court judges; (c) one representative from the Washington association of prosecuting attorneys; (d) two community members with experience in police accountability; (e) one member who is a police chief or sheriff; (f) one member who is a law enforcement officer; and (g) one member of the defense bar.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The work group shall make recommendations regarding: (a) Liability; (b) retroactivity; (c) due process protections for law enforcement officers; and (d) training.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The work group must report its recommendations to the governor and the appropriate committees of the legislature by December 1, 2021.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The work group must operate within existing funds.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(6) This section expires December 2, 2021."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5263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287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WITHDRAWN 03/05/2021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 of the title, after "felony;" strike the remainder of the title and insert "creating a new section; and providing an expiration date."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Creates a work group to study what circumstances would be appropriate to continue to allow a bar against civil lawsuits under RCW 4.24.420.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d856347be44a52" /></Relationships>
</file>