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dbbdb7902468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5304-S2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WICL</w:t>
        </w:r>
      </w:r>
      <w:r>
        <w:rPr>
          <w:b/>
        </w:rPr>
        <w:t xml:space="preserve"> </w:t>
        <w:r>
          <w:rPr/>
          <w:t xml:space="preserve">S1523.1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5304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C.</w:t>
      </w:r>
    </w:p>
    <w:p>
      <w:pPr>
        <w:jc w:val="right"/>
      </w:pPr>
      <w:r>
        <w:rPr>
          <w:b/>
        </w:rPr>
        <w:t xml:space="preserve">ADOPTED 03/05/2021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19, after "</w:t>
      </w:r>
      <w:r>
        <w:rPr>
          <w:u w:val="single"/>
        </w:rPr>
        <w:t xml:space="preserve">organization</w:t>
      </w:r>
      <w:r>
        <w:rPr/>
        <w:t xml:space="preserve">" strike "</w:t>
      </w:r>
      <w:r>
        <w:rPr>
          <w:u w:val="single"/>
        </w:rPr>
        <w:t xml:space="preserve">at least 30 days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14, after "organization" strike "at least 30 days"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34, after "provide" strike "mental 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17, after "organizations;" insert "jail administrators;"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22, after "by" strike "December 1, 2021" and insert "July 1, 2022"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23, after "December 1," strike "2022" and insert "2023"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at the beginning of line 2, strike "December 1, 2021" and insert "July 1, 2022"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2, after "November 1," strike "2022" and insert "2023"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Extends dates for the Reentry Services Work Group to submit a progress report and final report; Extends dates for the Washington State Institute for Public Policy to provide a preliminary report and final report; Adds jail administrators to the list of stakeholders for the Reentry Services Work Group; Alters the timing of the notification to managed care organizations by removing the 30-day requirement.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5ad05800c4a70" /></Relationships>
</file>