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23dec2f044ca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S3793.1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15, after "</w:t>
      </w:r>
      <w:r>
        <w:rPr>
          <w:u w:val="single"/>
        </w:rPr>
        <w:t xml:space="preserve">(3)</w:t>
      </w:r>
      <w:r>
        <w:rPr/>
        <w:t xml:space="preserve">" insert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1, strike "</w:t>
      </w:r>
      <w:r>
        <w:rPr>
          <w:u w:val="single"/>
        </w:rPr>
        <w:t xml:space="preserve">(a)</w:t>
      </w:r>
      <w:r>
        <w:rPr/>
        <w:t xml:space="preserve">" and insert "</w:t>
      </w:r>
      <w:r>
        <w:rPr>
          <w:u w:val="single"/>
        </w:rPr>
        <w:t xml:space="preserve">(i)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4, strike "</w:t>
      </w:r>
      <w:r>
        <w:rPr>
          <w:u w:val="single"/>
        </w:rPr>
        <w:t xml:space="preserve">(b)</w:t>
      </w:r>
      <w:r>
        <w:rPr/>
        <w:t xml:space="preserve">" and insert "</w:t>
      </w:r>
      <w:r>
        <w:rPr>
          <w:u w:val="single"/>
        </w:rPr>
        <w:t xml:space="preserve">(ii)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(b) The department of revenue's estimates under this subsection (3) may not be overturned by a court except upon a showing of willful misconduct by clear, cogent, and convincing evidence.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court challenges to the Department of Revenue's estimates for gross sales of aircraft fuel.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c4865c9d24424" /></Relationships>
</file>