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92b4ef5794dc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S3000.1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36, line 13, strike all material through "</w:t>
      </w:r>
      <w:r>
        <w:rPr>
          <w:u w:val="single"/>
        </w:rPr>
        <w:t xml:space="preserve">RCW.</w:t>
      </w:r>
      <w:r>
        <w:rPr/>
        <w:t xml:space="preserve">" on page 41, line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part and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41, beginning on line 12, strike all of section 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42, beginning on line 7, after "2.24.040," strike all material through "69.50.445" on line 8 and insert "and 9.94A.728"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42, beginning on line 11, after "date;" strike all material through "date;" on line 13 and insert "providing expiration dates;"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eliminating penalties for the possession of controlled substances, counterfeit substances, and legend drugs if the legislature does not act by July 1, 2023.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df30b56c145eb" /></Relationships>
</file>