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855b5be3a40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SEFZ</w:t>
        </w:r>
      </w:r>
      <w:r>
        <w:rPr>
          <w:b/>
        </w:rPr>
        <w:t xml:space="preserve"> </w:t>
        <w:r>
          <w:rPr/>
          <w:t xml:space="preserve">S4998.1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Sefzik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125, line 17,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$11,000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135, after line 30,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(30) $11,000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for implementation of Senate Bill No. 5913 (property tax/senior, veteran). If the bill is not enacted by June 30, 2022, the amount provided in this subsection shall lapse.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implementation of Senate Bill No. 5913 (property tax/senior, veteran)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$11,000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State/$11,000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$11,000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REVENUE EFFECT (2021-2023):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REVENUE EFFECT:</w:t>
      </w:r>
      <w:r>
        <w:rPr/>
        <w:t xml:space="preserve"> $0 Near General Fund-State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8893a25dd4884" /></Relationships>
</file>