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6028b27d8400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S4927.1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02/25/2022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38,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2022) by $350,000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2,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2023) by $25,000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beginning on line 26, strike all of subsection (10)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funding and proviso for an analysis of the lower Snake river dams.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(2021-2023):</w:t>
      </w:r>
      <w:r>
        <w:rPr/>
        <w:t xml:space="preserve"> ($375,000)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State/($375,000)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($375,000)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19137794a4274" /></Relationships>
</file>