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96213f040d4a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5832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S4588.1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5832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31, after "</w:t>
      </w:r>
      <w:r>
        <w:rPr>
          <w:u w:val="single"/>
        </w:rPr>
        <w:t xml:space="preserve">(II)</w:t>
      </w:r>
      <w:r>
        <w:rPr/>
        <w:t xml:space="preserve">" strike "</w:t>
      </w:r>
      <w:r>
        <w:rPr>
          <w:u w:val="single"/>
        </w:rPr>
        <w:t xml:space="preserve">For</w:t>
      </w:r>
      <w:r>
        <w:rPr/>
        <w:t xml:space="preserve">" and insert "</w:t>
      </w:r>
      <w:r>
        <w:rPr>
          <w:u w:val="single"/>
        </w:rPr>
        <w:t xml:space="preserve">Only in a county with a population greater than 300,000, for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expansion of the multifamily property tax exemption (MFTE) to include the conversion of existing market rate units to affordable housing to counties with a population greater than 300,000.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3d2b60ebb84630" /></Relationships>
</file>