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993667653486f" /></Relationships>
</file>

<file path=word/document.xml><?xml version="1.0" encoding="utf-8"?>
<w:document xmlns:w="http://schemas.openxmlformats.org/wordprocessingml/2006/main">
  <w:body>
    <w:p>
      <w:r>
        <w:rPr>
          <w:b/>
        </w:rPr>
        <w:r>
          <w:rPr/>
          <w:t xml:space="preserve">5842-S2</w:t>
        </w:r>
      </w:r>
      <w:r>
        <w:rPr>
          <w:b/>
        </w:rPr>
        <w:t xml:space="preserve"> </w:t>
        <w:t xml:space="preserve">AMS</w:t>
      </w:r>
      <w:r>
        <w:rPr>
          <w:b/>
        </w:rPr>
        <w:t xml:space="preserve"> </w:t>
        <w:r>
          <w:rPr/>
          <w:t xml:space="preserve">BRAU</w:t>
        </w:r>
      </w:r>
      <w:r>
        <w:rPr>
          <w:b/>
        </w:rPr>
        <w:t xml:space="preserve"> </w:t>
        <w:r>
          <w:rPr/>
          <w:t xml:space="preserve">S4485.1</w:t>
        </w:r>
      </w:r>
      <w:r>
        <w:rPr>
          <w:b/>
        </w:rPr>
        <w:t xml:space="preserve"> - NOT FOR FLOOR USE</w:t>
      </w:r>
    </w:p>
    <w:p>
      <w:pPr>
        <w:ind w:left="0" w:right="0" w:firstLine="576"/>
      </w:pP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1085</w:t>
      </w:r>
    </w:p>
    <w:p>
      <w:pPr>
        <w:spacing w:before="0" w:after="0" w:line="408" w:lineRule="exact"/>
        <w:ind w:left="0" w:right="0" w:firstLine="576"/>
        <w:jc w:val="left"/>
      </w:pPr>
      <w:r>
        <w:rPr/>
        <w:t xml:space="preserve">By Senator Braun</w:t>
      </w:r>
    </w:p>
    <w:p>
      <w:pPr>
        <w:jc w:val="right"/>
      </w:pPr>
      <w:r>
        <w:rPr>
          <w:b/>
        </w:rPr>
        <w:t xml:space="preserve">WITHDRAWN 02/11/2022</w:t>
      </w:r>
    </w:p>
    <w:p>
      <w:pPr>
        <w:spacing w:before="0" w:after="0" w:line="408" w:lineRule="exact"/>
        <w:ind w:left="0" w:right="0" w:firstLine="576"/>
        <w:jc w:val="left"/>
      </w:pPr>
      <w:r>
        <w:rPr/>
        <w:t xml:space="preserve">On page 4, after line 11, insert the following:</w:t>
      </w:r>
    </w:p>
    <w:p>
      <w:pPr>
        <w:spacing w:before="0" w:after="0" w:line="408" w:lineRule="exact"/>
        <w:ind w:left="0" w:right="0" w:firstLine="576"/>
        <w:jc w:val="left"/>
      </w:pPr>
      <w:r>
        <w:rPr/>
        <w:t xml:space="preserve">"(6)(a) In order to coordinate and synchronize the cap and invest program established under this chapter with other transportation-related investments, this section does not take effect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5 cents per gallon of fuel."</w:t>
      </w: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1085</w:t>
      </w:r>
    </w:p>
    <w:p>
      <w:pPr>
        <w:spacing w:before="0" w:after="0" w:line="408" w:lineRule="exact"/>
        <w:ind w:left="0" w:right="0" w:firstLine="576"/>
        <w:jc w:val="left"/>
      </w:pPr>
      <w:r>
        <w:rPr/>
        <w:t xml:space="preserve">By Senator Braun</w:t>
      </w:r>
    </w:p>
    <w:p>
      <w:pPr>
        <w:jc w:val="right"/>
      </w:pPr>
      <w:r>
        <w:rPr>
          <w:b/>
        </w:rPr>
        <w:t xml:space="preserve">WITHDRAWN 02/11/2022</w:t>
      </w:r>
    </w:p>
    <w:p>
      <w:pPr>
        <w:spacing w:before="0" w:after="0" w:line="408" w:lineRule="exact"/>
        <w:ind w:left="0" w:right="0" w:firstLine="576"/>
        <w:jc w:val="left"/>
      </w:pPr>
      <w:r>
        <w:rPr/>
        <w:t xml:space="preserve">On page 1, line 4 of the title, after "70A.65.140;" strike "and" and after "RCW" insert "; and providing a contingent effective date"</w:t>
      </w:r>
    </w:p>
    <w:p>
      <w:pPr>
        <w:spacing w:before="0" w:after="0" w:line="408" w:lineRule="exact"/>
        <w:ind w:left="0" w:right="0" w:firstLine="576"/>
        <w:jc w:val="left"/>
      </w:pPr>
      <w:r>
        <w:rPr>
          <w:u w:val="single"/>
        </w:rPr>
        <w:t xml:space="preserve">EFFECT:</w:t>
      </w:r>
      <w:r>
        <w:rPr/>
        <w:t xml:space="preserve"> Directs that section 2, relating to compliance for covered and opt-in entities under the Climate Commitment Act, will not take effect until a separate additive transportation funding act is enacted. An additive transportation funding act means an act, enacted after April 1, 2021, in which the state's gas tax is increased by an additional cumulative tax rate of at least five cents per gallon of fuel.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484addd424006" /></Relationships>
</file>