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6e574011364d9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5895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S4515.1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5895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1071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02/10/2022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7, after "cleanup;"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10, after "projects"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Private developers and other private sector organizations are valued partners in the effort to clean up contaminated sites. As with local governments, requiring a private sector applicant to have all the necessary permits in hand before funding a project that carries out the purposes of this chapter causes unintended delays"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after line 15,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(7) If the department provides funding under this section to a private sector applicant for a remedial action, the applicant may receive the funding before all of the required permits for the applicant's proposed action have been obtained.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private sector applicants to receive remedial action funding before all required permits have been obtained.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bb126a5ec74178" /></Relationships>
</file>