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93b32afcf40b9" /></Relationships>
</file>

<file path=word/document.xml><?xml version="1.0" encoding="utf-8"?>
<w:document xmlns:w="http://schemas.openxmlformats.org/wordprocessingml/2006/main">
  <w:body>
    <w:p>
      <w:r>
        <w:t>H-0002.1</w:t>
      </w:r>
    </w:p>
    <w:p>
      <w:pPr>
        <w:jc w:val="center"/>
      </w:pPr>
      <w:r>
        <w:t>_______________________________________________</w:t>
      </w:r>
    </w:p>
    <w:p/>
    <w:p>
      <w:pPr>
        <w:jc w:val="center"/>
      </w:pPr>
      <w:r>
        <w:rPr>
          <w:b/>
        </w:rPr>
        <w:t>HOUSE BILL 1004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Eslick, Graham, Kirby, Sutherland, and Schmick</w:t>
      </w:r>
    </w:p>
    <w:p/>
    <w:p>
      <w:r>
        <w:rPr>
          <w:t xml:space="preserve">Prefiled 12/08/20.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health orders issued in response to a proclaimed state of emergency; amending RCW 43.70.130 and 70.05.070;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u w:val="single"/>
        </w:rPr>
        <w:t xml:space="preserve">(1)</w:t>
      </w:r>
      <w:r>
        <w:rPr/>
        <w:t xml:space="preserve"> The secretary of health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Exercise all the powers and perform all the duties prescribed by law with respect to public health and vital statistics;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Investigate outbreaks and epidemics of disease that may occur and advise local health officers as to measures to be taken to prevent and control the same;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Have the same authority as local health officers, except that the secretary shall not exercise such authority unless the local health officer fails or is unable to do so, or when in an emergency the safety of the public health demands it, or by agreement with the local health officer or local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Establish and maintain laboratory facilities and services as are necessary to carry out the responsibilities of the department.</w:t>
      </w:r>
    </w:p>
    <w:p>
      <w:pPr>
        <w:spacing w:before="0" w:after="0" w:line="408" w:lineRule="exact"/>
        <w:ind w:left="0" w:right="0" w:firstLine="576"/>
        <w:jc w:val="left"/>
      </w:pPr>
      <w:r>
        <w:rPr>
          <w:u w:val="single"/>
        </w:rPr>
        <w:t xml:space="preserve">(2)(a) Any emergency order issued by the secretary in response to a proclaimed state of emergency must be narrowly tailored to the emergency and use the least restrictive means necessary to accomplish a compelling government interest.</w:t>
      </w:r>
    </w:p>
    <w:p>
      <w:pPr>
        <w:spacing w:before="0" w:after="0" w:line="408" w:lineRule="exact"/>
        <w:ind w:left="0" w:right="0" w:firstLine="576"/>
        <w:jc w:val="left"/>
      </w:pPr>
      <w:r>
        <w:rPr>
          <w:u w:val="single"/>
        </w:rPr>
        <w:t xml:space="preserve">(b) An order issued under (a) of this subsection may not continue for longer than thirty days unless extended or modified by the legislature through concurrent resolution. If the legislature is not in session, the order or policy may be extended or modified in writing by the majority and minority leaders of the senate and the speaker and the minority leader of the house of representatives until the legislature can extend the waiver or suspension by concurrent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u w:val="single"/>
        </w:rPr>
        <w:t xml:space="preserve">(1)</w:t>
      </w:r>
      <w:r>
        <w:rPr/>
        <w:t xml:space="preserve"> 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the public health statutes of the state, rules of the state board of health and the secretary of health,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Take such action as is necessary to maintain health and sanitation supervision over the territory within his or her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 and prevent the spread of any dangerous, contagious or infectious diseases that may occur within his or her jurisdiction;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Prevent, control or abate nuisances which are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Attend all conferences called by the secretary of health or his or her authorized representative;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0" w:after="0" w:line="408" w:lineRule="exact"/>
        <w:ind w:left="0" w:right="0" w:firstLine="576"/>
        <w:jc w:val="left"/>
      </w:pPr>
      <w:r>
        <w:rPr>
          <w:u w:val="single"/>
        </w:rPr>
        <w:t xml:space="preserve">(2)(a) Any emergency order issued by a local health officer in response to a proclaimed state of emergency must be narrowly tailored to the emergency and use the least restrictive means necessary to accomplish a compelling government interest.</w:t>
      </w:r>
    </w:p>
    <w:p>
      <w:pPr>
        <w:spacing w:before="0" w:after="0" w:line="408" w:lineRule="exact"/>
        <w:ind w:left="0" w:right="0" w:firstLine="576"/>
        <w:jc w:val="left"/>
      </w:pPr>
      <w:r>
        <w:rPr>
          <w:u w:val="single"/>
        </w:rPr>
        <w:t xml:space="preserve">(b) An order issued under (a) of this subsection may not continue for longer than thirty days unless extended or modified by the legislature through concurrent resolution. If the legislature is not in session, the order may be extended or modified in writing by the majority and minority leaders of the senate and the speaker and the minority leader of the house of representatives until the legislature can extend the waiver or suspension by concurrent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5f6bb48cb3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a4c2618bc4478" /><Relationship Type="http://schemas.openxmlformats.org/officeDocument/2006/relationships/footer" Target="/word/footer1.xml" Id="R915f6bb48cb340ba" /></Relationships>
</file>