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a641cd15746bc" /></Relationships>
</file>

<file path=word/document.xml><?xml version="1.0" encoding="utf-8"?>
<w:document xmlns:w="http://schemas.openxmlformats.org/wordprocessingml/2006/main">
  <w:body>
    <w:p>
      <w:r>
        <w:t>H-0017.2</w:t>
      </w:r>
    </w:p>
    <w:p>
      <w:pPr>
        <w:jc w:val="center"/>
      </w:pPr>
      <w:r>
        <w:t>_______________________________________________</w:t>
      </w:r>
    </w:p>
    <w:p/>
    <w:p>
      <w:pPr>
        <w:jc w:val="center"/>
      </w:pPr>
      <w:r>
        <w:rPr>
          <w:b/>
        </w:rPr>
        <w:t>HOUSE BILL 1050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Ortiz-Self, Leavitt, Duerr, Chopp, Ramel, Peterson, Goodman, Ryu, Callan, Ramos, Ormsby, Pollet, Stonier, Fey, Macri, and Bergquist</w:t>
      </w:r>
    </w:p>
    <w:p/>
    <w:p>
      <w:r>
        <w:rPr>
          <w:t xml:space="preserve">Prefiled 12/23/20.</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fluorinated gases; amending RCW 70A.15.6410, 70A.15.6420, 70A.15.6430, 70A.45.080, 19.27.580, 70A.15.3150, 70A.15.3160, 19.285.040, 19.27A.220, and 39.26.310; reenacting and amending RCW 70A.45.010; adding a new chapter to Title 70A RCW; creating a new section; and recodifying RCW 70A.45.080, 70A.15.6410, 70A.15.6420, and 70A.15.6430.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that were not covered by the 2019 law.</w:t>
      </w:r>
    </w:p>
    <w:p>
      <w:pPr>
        <w:spacing w:before="0" w:after="0" w:line="408" w:lineRule="exact"/>
        <w:ind w:left="0" w:right="0" w:firstLine="576"/>
        <w:jc w:val="left"/>
      </w:pPr>
      <w:r>
        <w:rPr/>
        <w:t xml:space="preserve">(2) Therefore, it is the intent of the legislature to reduce refrigerant emissions, including by:</w:t>
      </w:r>
    </w:p>
    <w:p>
      <w:pPr>
        <w:spacing w:before="0" w:after="0" w:line="408" w:lineRule="exact"/>
        <w:ind w:left="0" w:right="0" w:firstLine="576"/>
        <w:jc w:val="left"/>
      </w:pPr>
      <w:r>
        <w:rPr/>
        <w:t xml:space="preserve">(a) Conditionally authorizing the establishment of a maximum global warming potential threshold for hydrofluorocarbons used as a refrigerant;</w:t>
      </w:r>
    </w:p>
    <w:p>
      <w:pPr>
        <w:spacing w:before="0" w:after="0" w:line="408" w:lineRule="exact"/>
        <w:ind w:left="0" w:right="0" w:firstLine="576"/>
        <w:jc w:val="left"/>
      </w:pPr>
      <w:r>
        <w:rPr/>
        <w:t xml:space="preserve">(b) Conditionally authorizing the regulation of hydrofluorocarbons in air conditioning;</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equipment that cools or dehumidifies spaces in residential or nonresidential settings, for comfort cooling and other purposes, including but not limited to:</w:t>
      </w:r>
    </w:p>
    <w:p>
      <w:pPr>
        <w:spacing w:before="0" w:after="0" w:line="408" w:lineRule="exact"/>
        <w:ind w:left="0" w:right="0" w:firstLine="576"/>
        <w:jc w:val="left"/>
      </w:pPr>
      <w:r>
        <w:rPr/>
        <w:t xml:space="preserve">(i) Room air conditioning, such as window units;</w:t>
      </w:r>
    </w:p>
    <w:p>
      <w:pPr>
        <w:spacing w:before="0" w:after="0" w:line="408" w:lineRule="exact"/>
        <w:ind w:left="0" w:right="0" w:firstLine="576"/>
        <w:jc w:val="left"/>
      </w:pPr>
      <w:r>
        <w:rPr/>
        <w:t xml:space="preserve">(ii) Packaged terminal air conditioners;</w:t>
      </w:r>
    </w:p>
    <w:p>
      <w:pPr>
        <w:spacing w:before="0" w:after="0" w:line="408" w:lineRule="exact"/>
        <w:ind w:left="0" w:right="0" w:firstLine="576"/>
        <w:jc w:val="left"/>
      </w:pPr>
      <w:r>
        <w:rPr/>
        <w:t xml:space="preserve">(iii) Packaged terminal heat pumps;</w:t>
      </w:r>
    </w:p>
    <w:p>
      <w:pPr>
        <w:spacing w:before="0" w:after="0" w:line="408" w:lineRule="exact"/>
        <w:ind w:left="0" w:right="0" w:firstLine="576"/>
        <w:jc w:val="left"/>
      </w:pPr>
      <w:r>
        <w:rPr/>
        <w:t xml:space="preserve">(iv) Portable air conditioners;</w:t>
      </w:r>
    </w:p>
    <w:p>
      <w:pPr>
        <w:spacing w:before="0" w:after="0" w:line="408" w:lineRule="exact"/>
        <w:ind w:left="0" w:right="0" w:firstLine="576"/>
        <w:jc w:val="left"/>
      </w:pPr>
      <w:r>
        <w:rPr/>
        <w:t xml:space="preserve">(v) Central or ducted air conditioners;</w:t>
      </w:r>
    </w:p>
    <w:p>
      <w:pPr>
        <w:spacing w:before="0" w:after="0" w:line="408" w:lineRule="exact"/>
        <w:ind w:left="0" w:right="0" w:firstLine="576"/>
        <w:jc w:val="left"/>
      </w:pPr>
      <w:r>
        <w:rPr/>
        <w:t xml:space="preserve">(vi) Nonducted systems, including both mini and multisplits;</w:t>
      </w:r>
    </w:p>
    <w:p>
      <w:pPr>
        <w:spacing w:before="0" w:after="0" w:line="408" w:lineRule="exact"/>
        <w:ind w:left="0" w:right="0" w:firstLine="576"/>
        <w:jc w:val="left"/>
      </w:pPr>
      <w:r>
        <w:rPr/>
        <w:t xml:space="preserve">(vii) Packaged rooftop units;</w:t>
      </w:r>
    </w:p>
    <w:p>
      <w:pPr>
        <w:spacing w:before="0" w:after="0" w:line="408" w:lineRule="exact"/>
        <w:ind w:left="0" w:right="0" w:firstLine="576"/>
        <w:jc w:val="left"/>
      </w:pPr>
      <w:r>
        <w:rPr/>
        <w:t xml:space="preserve">(viii) Water-source and ground-source heat pumps;</w:t>
      </w:r>
    </w:p>
    <w:p>
      <w:pPr>
        <w:spacing w:before="0" w:after="0" w:line="408" w:lineRule="exact"/>
        <w:ind w:left="0" w:right="0" w:firstLine="576"/>
        <w:jc w:val="left"/>
      </w:pPr>
      <w:r>
        <w:rPr/>
        <w:t xml:space="preserve">(ix) Dehumidifiers; and</w:t>
      </w:r>
    </w:p>
    <w:p>
      <w:pPr>
        <w:spacing w:before="0" w:after="0" w:line="408" w:lineRule="exact"/>
        <w:ind w:left="0" w:right="0" w:firstLine="576"/>
        <w:jc w:val="left"/>
      </w:pPr>
      <w:r>
        <w:rPr/>
        <w:t xml:space="preserve">(x) Computer room and data center cooling and remote condensing units for comfort cooling applications.</w:t>
      </w:r>
    </w:p>
    <w:p>
      <w:pPr>
        <w:spacing w:before="0" w:after="0" w:line="408" w:lineRule="exact"/>
        <w:ind w:left="0" w:right="0" w:firstLine="576"/>
        <w:jc w:val="left"/>
      </w:pPr>
      <w:r>
        <w:rPr/>
        <w:t xml:space="preserve">(b) "Air conditioning" does not include chillers.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gas. For a device with multiple independent circuits, each independent circuit is considered a separate article of equipment.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regulated refrigerant </w:t>
      </w:r>
      <w:r>
        <w:rPr>
          <w:u w:val="single"/>
        </w:rPr>
        <w:t xml:space="preserve">or substitute</w:t>
      </w:r>
      <w:r>
        <w:rPr/>
        <w:t xml:space="preserve">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and</w:t>
      </w:r>
      <w:r>
        <w:rPr/>
        <w:t xml:space="preserve"> chlorofluorocarbons or other ozone-depleting chemicals, and for which substitutes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other than residential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 January 1, 2025, for other types of stationary air conditioning equipment, provided that the state building code council adopts the following safety standards into the state building code prior to January 1, 2023, as these standards existed as of January 1, 2021:</w:t>
      </w:r>
    </w:p>
    <w:p>
      <w:pPr>
        <w:spacing w:before="0" w:after="0" w:line="408" w:lineRule="exact"/>
        <w:ind w:left="0" w:right="0" w:firstLine="576"/>
        <w:jc w:val="left"/>
      </w:pPr>
      <w:r>
        <w:rPr/>
        <w:t xml:space="preserve">(i) American society of heating, refrigerating, and air-conditioning engineers standard 15;</w:t>
      </w:r>
    </w:p>
    <w:p>
      <w:pPr>
        <w:spacing w:before="0" w:after="0" w:line="408" w:lineRule="exact"/>
        <w:ind w:left="0" w:right="0" w:firstLine="576"/>
        <w:jc w:val="left"/>
      </w:pPr>
      <w:r>
        <w:rPr/>
        <w:t xml:space="preserve">(ii) American society of heating, refrigerating, and air-conditioning engineers standard 15.2;</w:t>
      </w:r>
    </w:p>
    <w:p>
      <w:pPr>
        <w:spacing w:before="0" w:after="0" w:line="408" w:lineRule="exact"/>
        <w:ind w:left="0" w:right="0" w:firstLine="576"/>
        <w:jc w:val="left"/>
      </w:pPr>
      <w:r>
        <w:rPr/>
        <w:t xml:space="preserve">(iii) American society of heating, refrigerating, and air-conditioning engineers standard 34; and</w:t>
      </w:r>
    </w:p>
    <w:p>
      <w:pPr>
        <w:spacing w:before="0" w:after="0" w:line="408" w:lineRule="exact"/>
        <w:ind w:left="0" w:right="0" w:firstLine="576"/>
        <w:jc w:val="left"/>
      </w:pPr>
      <w:r>
        <w:rPr/>
        <w:t xml:space="preserve">(iv) Underwriters laboratories standard UL 60335-2-40 edition 4;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300 for use in refrigeration equipment containing more than 150 pounds of refrigerant;</w:t>
      </w:r>
    </w:p>
    <w:p>
      <w:pPr>
        <w:spacing w:before="0" w:after="0" w:line="408" w:lineRule="exact"/>
        <w:ind w:left="0" w:right="0" w:firstLine="576"/>
        <w:jc w:val="left"/>
      </w:pPr>
      <w:r>
        <w:rPr/>
        <w:t xml:space="preserve">(b)(i) The restrictions in (a) of this subsection must apply to refrigeration equipment manufactured after December 31, 2024, if the state building code council adopts the following safety standards into the state building code prior to January 1, 2023, as these standards existed as of January 1, 2021:</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 750 for use in new equipment manufactured after December 31, 2021, for installation in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50 pounds from some or all of the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operator of a stationary refrigeration system or air conditioning system that exceeds a de minimis charge capacity of 50 pounds must register with the department. The department may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 and</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certified technicians to service refrigerant systems,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to the maximum extent practicable and in all instances in which the substitutes have been approved for use under the United States environmental protection agency's significant new alternatives policy to implement 42 U.S.C. Sec. 7671k.</w:t>
      </w:r>
    </w:p>
    <w:p>
      <w:pPr>
        <w:spacing w:before="0" w:after="0" w:line="408" w:lineRule="exact"/>
        <w:ind w:left="0" w:right="0" w:firstLine="576"/>
        <w:jc w:val="left"/>
      </w:pPr>
      <w:r>
        <w:rPr>
          <w:u w:val="single"/>
        </w:rPr>
        <w:t xml:space="preserve">(3) Any rules adopted by the building code council that affect the design or installation of refrigeration or air conditioning systems must be consistent with a goal of minimizing system leakage of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19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19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19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Beginning January 1, 2022, in assessing the conservation required under this section, a qualifying utility must consider the nonenergy impacts associated with the generation of electricity as well as from other sources, including refrigerants.</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19 of this act).</w:t>
      </w:r>
    </w:p>
    <w:p/>
    <w:p>
      <w:pPr>
        <w:jc w:val="center"/>
      </w:pPr>
      <w:r>
        <w:rPr>
          <w:b/>
        </w:rPr>
        <w:t>--- END ---</w:t>
      </w:r>
    </w:p>
    <w:sectPr>
      <w:pgNumType w:start="1"/>
      <w:footerReference xmlns:r="http://schemas.openxmlformats.org/officeDocument/2006/relationships" r:id="R1a32fbd0f0304d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d7cdb911b4c1f" /><Relationship Type="http://schemas.openxmlformats.org/officeDocument/2006/relationships/footer" Target="/word/footer1.xml" Id="R1a32fbd0f0304ddc" /></Relationships>
</file>