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a4fe2af613498a" /></Relationships>
</file>

<file path=word/document.xml><?xml version="1.0" encoding="utf-8"?>
<w:document xmlns:w="http://schemas.openxmlformats.org/wordprocessingml/2006/main">
  <w:body>
    <w:p>
      <w:r>
        <w:t>H-0416.3</w:t>
      </w:r>
    </w:p>
    <w:p>
      <w:pPr>
        <w:jc w:val="center"/>
      </w:pPr>
      <w:r>
        <w:t>_______________________________________________</w:t>
      </w:r>
    </w:p>
    <w:p/>
    <w:p>
      <w:pPr>
        <w:jc w:val="center"/>
      </w:pPr>
      <w:r>
        <w:rPr>
          <w:b/>
        </w:rPr>
        <w:t>SUBSTITUTE HOUSE BILL 1054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J. Johnson, Entenman, Dolan, Ryu, Berry, Simmons, Bateman, Kloba, Lekanoff, Duerr, Fitzgibbon, Slatter, Wylie, Ramos, Berg, Tharinger, Ramel, Ortiz-Self, Senn, Peterson, Gregerson, Valdez, Callan, Hackney, Morgan, Chopp, Cody, Ormsby, Taylor, Frame, Santos, Macri, Davis, Pollet,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tactics and equipment used by peace officers; amending RCW 10.31.040; adding a new chapter to Title 10 RCW; and repealing RCW 43.101.226.</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refers to any tactic in which direct pressure is applied to a person's trachea or windpipe or any other tactic intended to restrict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police dog for the purpose of arresting or apprehending another person.</w:t>
      </w:r>
    </w:p>
    <w:p>
      <w:pPr>
        <w:spacing w:before="0" w:after="0" w:line="408" w:lineRule="exact"/>
        <w:ind w:left="0" w:right="0" w:firstLine="576"/>
        <w:jc w:val="left"/>
      </w:pPr>
      <w:r>
        <w:rPr/>
        <w:t xml:space="preserve">(2) A law enforcement agency authorizing the use of police dogs shall adopt policies consistent with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purchase, acquire, use, or authorize its peace officers or other employees to use tear gas for any purpose.</w:t>
      </w:r>
    </w:p>
    <w:p>
      <w:pPr>
        <w:spacing w:before="0" w:after="0" w:line="408" w:lineRule="exact"/>
        <w:ind w:left="0" w:right="0" w:firstLine="576"/>
        <w:jc w:val="left"/>
      </w:pPr>
      <w:r>
        <w:rPr/>
        <w:t xml:space="preserve">(2) For the purposes of this section, "tear gas" refers to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 For the purposes of this section, "military equipment" means firearms and ammunition of .50 caliber or greater, machine guns, silencers, armed helicopters, armed or armored drones, armed vessels, armed vehicles, armed aircraft, tanks, mine resistant ambush protected vehicles, long range acoustic hailing devices, rockets, rocket launchers, bayonets, grenades, grenade launchers, missiles, directed energy systems, and electromagnetic spectrum weapons.</w:t>
      </w:r>
    </w:p>
    <w:p>
      <w:pPr>
        <w:spacing w:before="0" w:after="0" w:line="408" w:lineRule="exact"/>
        <w:ind w:left="0" w:right="0" w:firstLine="576"/>
        <w:jc w:val="left"/>
      </w:pPr>
      <w:r>
        <w:rPr/>
        <w:t xml:space="preserve">(3)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 There is probable cause to believe that a person in the vehicle has committed or is committing a violent offense or sex offense, as those terms are defined in RCW 9.94A.030;</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Under the circumstances, the safety risks of failing to apprehend or identify the person are considered to be greater than the safety risks associated with the vehicular pursuit;</w:t>
      </w:r>
    </w:p>
    <w:p>
      <w:pPr>
        <w:spacing w:before="0" w:after="0" w:line="408" w:lineRule="exact"/>
        <w:ind w:left="0" w:right="0" w:firstLine="576"/>
        <w:jc w:val="left"/>
      </w:pPr>
      <w:r>
        <w:rPr/>
        <w:t xml:space="preserve">(d) The officer has received authorization to engage in the pursuit from a supervising officer; and</w:t>
      </w:r>
    </w:p>
    <w:p>
      <w:pPr>
        <w:spacing w:before="0" w:after="0" w:line="408" w:lineRule="exact"/>
        <w:ind w:left="0" w:right="0" w:firstLine="576"/>
        <w:jc w:val="left"/>
      </w:pPr>
      <w:r>
        <w:rPr/>
        <w:t xml:space="preserve">(e) There is supervisory control of the pursuit, and the supervisor considers relevant factors affecting public safety, such as whether there are minors present in the vehicle.</w:t>
      </w:r>
    </w:p>
    <w:p>
      <w:pPr>
        <w:spacing w:before="0" w:after="0" w:line="408" w:lineRule="exact"/>
        <w:ind w:left="0" w:right="0" w:firstLine="576"/>
        <w:jc w:val="left"/>
      </w:pPr>
      <w:r>
        <w:rPr/>
        <w:t xml:space="preserve">(2)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extraordinary circumstances apply where it appears the operator is using the vehicle for the purpose of causing serious physical harm to another person and the officer has no other reasonably accessible means to stop the harm.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t xml:space="preserve"> </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c40b352e876840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17dc97a63f4c2a" /><Relationship Type="http://schemas.openxmlformats.org/officeDocument/2006/relationships/footer" Target="/word/footer1.xml" Id="Rc40b352e8768405e" /></Relationships>
</file>