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6eccb6c994ea7" /></Relationships>
</file>

<file path=word/document.xml><?xml version="1.0" encoding="utf-8"?>
<w:document xmlns:w="http://schemas.openxmlformats.org/wordprocessingml/2006/main">
  <w:body>
    <w:p>
      <w:r>
        <w:t>H-0210.1</w:t>
      </w:r>
    </w:p>
    <w:p>
      <w:pPr>
        <w:jc w:val="center"/>
      </w:pPr>
      <w:r>
        <w:t>_______________________________________________</w:t>
      </w:r>
    </w:p>
    <w:p/>
    <w:p>
      <w:pPr>
        <w:jc w:val="center"/>
      </w:pPr>
      <w:r>
        <w:rPr>
          <w:b/>
        </w:rPr>
        <w:t>HOUSE BILL 1059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Cody, Kloba, and Pollet</w:t>
      </w:r>
    </w:p>
    <w:p/>
    <w:p>
      <w:r>
        <w:rPr>
          <w:t xml:space="preserve">Prefiled 12/29/20.</w:t>
        </w:rPr>
      </w:r>
      <w:r>
        <w:rPr>
          <w:t xml:space="preserve">Read first time 01/11/21.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fireworks prohibitions adopted by cities or counties; and amending RCW 70.77.250 and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minimum standards for the enforcement of this chapter. Counties and cities shall comply with these state rules. Any ordinances adopted by a county or city that are more restrictive than state law shall have an effective date no sooner than one year after their adoption</w:t>
      </w:r>
      <w:r>
        <w:rPr>
          <w:u w:val="single"/>
        </w:rPr>
        <w:t xml:space="preserve">, except for a prohibition on consumer fireworks enacted under RCW 70.77.395(3) which shall take effect immediately</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twelve o'clock noon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w:t>
      </w:r>
      <w:r>
        <w:t>((</w:t>
      </w:r>
      <w:r>
        <w:rPr>
          <w:strike/>
        </w:rPr>
        <w:t xml:space="preserve">and</w:t>
      </w:r>
      <w:r>
        <w:t>))</w:t>
      </w:r>
      <w:r>
        <w:rPr>
          <w:u w:val="single"/>
        </w:rPr>
        <w:t xml:space="preserve">,</w:t>
      </w:r>
      <w:r>
        <w:rPr/>
        <w:t xml:space="preserve"> between the hours of nine o'clock a.m. and eleven o'clock p.m. on the twenty-ninth of June to the third of July, </w:t>
      </w:r>
      <w:r>
        <w:t>((</w:t>
      </w:r>
      <w:r>
        <w:rPr>
          <w:strike/>
        </w:rPr>
        <w:t xml:space="preserve">and on July 4th</w:t>
      </w:r>
      <w:r>
        <w:t>))</w:t>
      </w:r>
      <w:r>
        <w:rPr/>
        <w:t xml:space="preserve"> between the hours of nine o'clock a.m. and twelve o'clock midnight </w:t>
      </w:r>
      <w:r>
        <w:rPr>
          <w:u w:val="single"/>
        </w:rPr>
        <w:t xml:space="preserve">on the fourth of July</w:t>
      </w:r>
      <w:r>
        <w:rPr/>
        <w:t xml:space="preserve">, </w:t>
      </w:r>
      <w:r>
        <w:t>((</w:t>
      </w:r>
      <w:r>
        <w:rPr>
          <w:strike/>
        </w:rPr>
        <w:t xml:space="preserve">and</w:t>
      </w:r>
      <w:r>
        <w:t>))</w:t>
      </w:r>
      <w:r>
        <w:rPr/>
        <w:t xml:space="preserve"> between the hours of nine o'clock a.m. and eleven o'clock p.m. on </w:t>
      </w:r>
      <w:r>
        <w:rPr>
          <w:u w:val="single"/>
        </w:rPr>
        <w:t xml:space="preserve">the fifth of</w:t>
      </w:r>
      <w:r>
        <w:rPr/>
        <w:t xml:space="preserve"> July </w:t>
      </w:r>
      <w:r>
        <w:t>((</w:t>
      </w:r>
      <w:r>
        <w:rPr>
          <w:strike/>
        </w:rPr>
        <w:t xml:space="preserve">5th, and from</w:t>
      </w:r>
      <w:r>
        <w:t>))</w:t>
      </w:r>
      <w:r>
        <w:rPr>
          <w:u w:val="single"/>
        </w:rPr>
        <w:t xml:space="preserve">, between the hours of</w:t>
      </w:r>
      <w:r>
        <w:rPr/>
        <w:t xml:space="preserve"> six o'clock p.m. on </w:t>
      </w:r>
      <w:r>
        <w:rPr>
          <w:u w:val="single"/>
        </w:rPr>
        <w:t xml:space="preserve">the thirty-first of</w:t>
      </w:r>
      <w:r>
        <w:rPr/>
        <w:t xml:space="preserve"> December </w:t>
      </w:r>
      <w:r>
        <w:t>((</w:t>
      </w:r>
      <w:r>
        <w:rPr>
          <w:strike/>
        </w:rPr>
        <w:t xml:space="preserve">31st until</w:t>
      </w:r>
      <w:r>
        <w:t>))</w:t>
      </w:r>
      <w:r>
        <w:rPr/>
        <w:t xml:space="preserve"> </w:t>
      </w:r>
      <w:r>
        <w:rPr>
          <w:u w:val="single"/>
        </w:rPr>
        <w:t xml:space="preserve">and</w:t>
      </w:r>
      <w:r>
        <w:rPr/>
        <w:t xml:space="preserve"> one o'clock a.m. on </w:t>
      </w:r>
      <w:r>
        <w:rPr>
          <w:u w:val="single"/>
        </w:rPr>
        <w:t xml:space="preserve">the first of</w:t>
      </w:r>
      <w:r>
        <w:rPr/>
        <w:t xml:space="preserve"> January </w:t>
      </w:r>
      <w:r>
        <w:t>((</w:t>
      </w:r>
      <w:r>
        <w:rPr>
          <w:strike/>
        </w:rPr>
        <w:t xml:space="preserve">1st</w:t>
      </w:r>
      <w:r>
        <w:t>))</w:t>
      </w:r>
      <w:r>
        <w:rPr/>
        <w:t xml:space="preserve"> of the subsequent year, and as provided in RCW 70.77.311.</w:t>
      </w:r>
    </w:p>
    <w:p>
      <w:pPr>
        <w:spacing w:before="0" w:after="0" w:line="408" w:lineRule="exact"/>
        <w:ind w:left="0" w:right="0" w:firstLine="576"/>
        <w:jc w:val="left"/>
      </w:pPr>
      <w:r>
        <w:rPr/>
        <w:t xml:space="preserve">(3) A city or county may enact an ordinance </w:t>
      </w:r>
      <w:r>
        <w:t>((</w:t>
      </w:r>
      <w:r>
        <w:rPr>
          <w:strike/>
        </w:rPr>
        <w:t xml:space="preserve">within sixty days of June 13, 2002,</w:t>
      </w:r>
      <w:r>
        <w:t>))</w:t>
      </w:r>
      <w:r>
        <w:rPr/>
        <w:t xml:space="preserve"> to limit or prohibit the sale, purchase, possession, or use of consumer fireworks </w:t>
      </w:r>
      <w:r>
        <w:t>((</w:t>
      </w:r>
      <w:r>
        <w:rPr>
          <w:strike/>
        </w:rPr>
        <w:t xml:space="preserve">on December 27, 2002, through December 31, 2002, and thereafter as provided in RCW 70.77.250(4)</w:t>
      </w:r>
      <w:r>
        <w:t>))</w:t>
      </w:r>
      <w:r>
        <w:rPr/>
        <w:t xml:space="preserve"> </w:t>
      </w:r>
      <w:r>
        <w:rPr>
          <w:u w:val="single"/>
        </w:rPr>
        <w:t xml:space="preserve">within its jurisdiction</w:t>
      </w:r>
      <w:r>
        <w:rPr/>
        <w:t xml:space="preserve">.</w:t>
      </w:r>
    </w:p>
    <w:p/>
    <w:p>
      <w:pPr>
        <w:jc w:val="center"/>
      </w:pPr>
      <w:r>
        <w:rPr>
          <w:b/>
        </w:rPr>
        <w:t>--- END ---</w:t>
      </w:r>
    </w:p>
    <w:sectPr>
      <w:pgNumType w:start="1"/>
      <w:footerReference xmlns:r="http://schemas.openxmlformats.org/officeDocument/2006/relationships" r:id="R5a3f8ff6e4e24b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c532f2b514c02" /><Relationship Type="http://schemas.openxmlformats.org/officeDocument/2006/relationships/footer" Target="/word/footer1.xml" Id="R5a3f8ff6e4e24b0b" /></Relationships>
</file>