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b462f7810f4c3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1091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Fitzgibbon, Slatter, Berry, Dolan, Bateman, Ramos, Simmons, Ramel, Senn, Peterson, Duerr, Ryu, Valdez, Callan, Kloba, Chopp, Ormsby, Frame, Macri, Pollet, Goodman, and Bergquist; by request of Office of the Governor)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reducing the carbon intensity of transportation fuel; amending RCW 46.17.365, 46.25.100, 46.20.202, 46.25.052, 46.25.060, 70A.15.3150, 70A.15.3160, 19.112.110, and 19.112.120; adding a new section to chapter 82.04 RCW; adding a new section to chapter 28B.30 RCW; adding a new section to chapter 43.21A RCW; adding a new chapter to Title 70A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after enacting their programs, neither state has experienced disruptions to fuel markets or significant impacts to the costs of transportation fuels,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 legislature finds that the clean fuel standard created in this chapter will create jobs in Washington state in the production and distribution of sustainable fuels like biofuels from agricultural feedstocks and forest residuals, hydrogen produced from renewable feedstocks, and more. In order to maximize the benefits of this policy to Washington workers while also protecting the environment for current and future generations, it is necessary to uphold and improve upon the state's siting policies. By identifying priority areas of the state for development and by developing methods to further avoid, minimize, and mitigate environmental impacts consistent with statute, rules, and guidance, Washington can protect its environment, contribute to the global fight against climate change, and support broadly shared prosperity.</w:t>
      </w:r>
    </w:p>
    <w:p>
      <w:pPr>
        <w:spacing w:before="0" w:after="0" w:line="408" w:lineRule="exact"/>
        <w:ind w:left="0" w:right="0" w:firstLine="576"/>
        <w:jc w:val="left"/>
      </w:pPr>
      <w:r>
        <w:rPr/>
        <w:t xml:space="preserve">(4)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(14)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(2)(a) The rules adopted under this section must reduce the greenhouse gas emissions attributable to each unit of the fuels to 10 percent below 2017 levels by 2028 and 20 percent below 2017 levels by 2035.</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(c) By December 31, 2031, the department must adopt updated rules that reduce the greenhouse gas emissions attributable to each unit of transportation fuels applicable to each year through 2050. The department must adopt rules that set the greenhouse gas emissions attributable to each unit of transportation fuel in the year 2050 so that total emissions from transportation sources in 2050 are consistent with the state achieving the emissions limits established in RCW 70A.45.020.</w:t>
      </w:r>
    </w:p>
    <w:p>
      <w:pPr>
        <w:spacing w:before="0" w:after="0" w:line="408" w:lineRule="exact"/>
        <w:ind w:left="0" w:right="0" w:firstLine="576"/>
        <w:jc w:val="left"/>
      </w:pPr>
      <w:r>
        <w:rPr/>
        <w:t xml:space="preserve">(3) Transportation fuels exported from Washington are not subject to the greenhouse gas emissions reduction requirements in this section.</w:t>
      </w:r>
    </w:p>
    <w:p>
      <w:pPr>
        <w:spacing w:before="0" w:after="0" w:line="408" w:lineRule="exact"/>
        <w:ind w:left="0" w:right="0" w:firstLine="576"/>
        <w:jc w:val="left"/>
      </w:pPr>
      <w:r>
        <w:rPr/>
        <w:t xml:space="preserve">(4)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section 7(1) of this act.</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section 7(1) of this act;</w:t>
      </w:r>
    </w:p>
    <w:p>
      <w:pPr>
        <w:spacing w:before="0" w:after="0" w:line="408" w:lineRule="exact"/>
        <w:ind w:left="0" w:right="0" w:firstLine="576"/>
        <w:jc w:val="left"/>
      </w:pPr>
      <w:r>
        <w:rPr/>
        <w:t xml:space="preserve">(8)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w:t>
      </w:r>
    </w:p>
    <w:p>
      <w:pPr>
        <w:spacing w:before="0" w:after="0" w:line="408" w:lineRule="exact"/>
        <w:ind w:left="0" w:right="0" w:firstLine="576"/>
        <w:jc w:val="left"/>
      </w:pPr>
      <w:r>
        <w:rPr/>
        <w:t xml:space="preserve">(iii) Direct air capture projects; or</w:t>
      </w:r>
    </w:p>
    <w:p>
      <w:pPr>
        <w:spacing w:before="0" w:after="0" w:line="408" w:lineRule="exact"/>
        <w:ind w:left="0" w:right="0" w:firstLine="576"/>
        <w:jc w:val="left"/>
      </w:pPr>
      <w:r>
        <w:rPr/>
        <w:t xml:space="preserve">(iv) Investments and activities that support deployment of machinery and equipment used to produce gaseous and liquid fuels from nonfossil feedstocks, and derivatives thereof; or</w:t>
      </w:r>
    </w:p>
    <w:p>
      <w:pPr>
        <w:spacing w:before="0" w:after="0" w:line="408" w:lineRule="exact"/>
        <w:ind w:left="0" w:right="0" w:firstLine="576"/>
        <w:jc w:val="left"/>
      </w:pPr>
      <w:r>
        <w:rPr/>
        <w:t xml:space="preserve">(v) Infrastructure investments in broadband access associated with facilitating remote work and therefore reducing transportation emissions, consistent with the 2021 state energy strategy recommendation. The department must establish a metric for the allocation of credits per foot of installed broadband infrastructure that varies by technology type including, but not limited to, cable, digital subscriber line, and fiber broadband;</w:t>
      </w:r>
    </w:p>
    <w:p>
      <w:pPr>
        <w:spacing w:before="0" w:after="0" w:line="408" w:lineRule="exact"/>
        <w:ind w:left="0" w:right="0" w:firstLine="576"/>
        <w:jc w:val="left"/>
      </w:pPr>
      <w:r>
        <w:rPr/>
        <w:t xml:space="preserve">(b)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(c)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sections 3 and 4 of this act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sections 3 and 4 of this act may allow the generation of credits from the provision of low-carbon fuel infrastructure not specified in (a) of this subsection.</w:t>
      </w:r>
    </w:p>
    <w:p>
      <w:pPr>
        <w:spacing w:before="0" w:after="0" w:line="408" w:lineRule="exact"/>
        <w:ind w:left="0" w:right="0" w:firstLine="576"/>
        <w:jc w:val="left"/>
      </w:pPr>
      <w:r>
        <w:rPr/>
        <w:t xml:space="preserve">(3) The rules adopted by the department may establish limits for the number of credits that may be earned each year by persons participating in the program for some or all of the activities specified in subsections (1) and (2) of this section.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and methods for credit generation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0" w:after="0" w:line="408" w:lineRule="exact"/>
        <w:ind w:left="0" w:right="0" w:firstLine="576"/>
        <w:jc w:val="left"/>
      </w:pPr>
      <w:r>
        <w:rPr/>
        <w:t xml:space="preserve">(3) The department must conduct a biennial review of innovative technologies and pathways that reduce carbon and increase credit generation opportunities and must modify rules or guidance as needed to maintain stable credit markets.</w:t>
      </w:r>
    </w:p>
    <w:p>
      <w:pPr>
        <w:spacing w:before="0" w:after="0" w:line="408" w:lineRule="exact"/>
        <w:ind w:left="0" w:right="0" w:firstLine="576"/>
        <w:jc w:val="left"/>
      </w:pPr>
      <w:r>
        <w:rPr/>
        <w:t xml:space="preserve">(4) In any reports to the legislature under section 10 of this act, on the department's website, or in other public documents or communications that refer to assumed public health benefits associated with the program created in this chapter, the department must distinguish between public health benefits from small particulate matter and other conventional pollutant reductions achieved primarily as a result of vehicle emission standards established under chapter 70A.30 RCW, and the incremental benefits to air pollution attributable to the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Electric vehicle manufacturers and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 located within or directly benefiting a federally designated nonattainment or maintenance area, a federally designated nonattainment or maintenance area that existed as of the effective date of this section,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For the 50 percent of revenues not subject to the requirements of subsection (1) of this section, the department, in consultation with the utilities and transportation commission, must adopt requirements for the expenditure of revenues from credits earned from the electricity supplied to retail customers by an electric utility under the clean fuels program. The department must provide for the establishment and funding of a statewide clean fuel reward program to provide light duty vehicle consumers with reasonable purchase incentives and require that at least some portion of the 50 percent of revenues subject to this subsection be contributed by each electric utility to such a program. The clean fuel reward program must provide a price reduction to vehicle purchasers or leasers at the time of purchase or lease on electric vehicle purchases or leases in Washington. Any requirements for the expenditure of revenues from credits earned from the electricity supplied to retail customers by an electric utility under the clean fuels program must be developed in consultation with electric utilities, automobile manufacturers, and car dealers.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an ex ante independent analysis of the information specified in subsection (1)(c) of this section for each year of the program through 2035. The analysis must be informed by input from stakeholders, including regulated industries, and informed by experience from other jurisdictions. The analysis must impute price impacts using multiple analytical methodologies and must make clear how the assumptions or factors considered differed in each methodology used and price impact imputed. The analysis required in this subsection must be completed and submitted to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an order declaring an emergency deferral:</w:t>
      </w:r>
    </w:p>
    <w:p>
      <w:pPr>
        <w:spacing w:before="0" w:after="0" w:line="408" w:lineRule="exact"/>
        <w:ind w:left="0" w:right="0" w:firstLine="576"/>
        <w:jc w:val="left"/>
      </w:pPr>
      <w:r>
        <w:rPr/>
        <w:t xml:space="preserve">(a) No later than 15 calendar days after the date that the department determines that:</w:t>
      </w:r>
    </w:p>
    <w:p>
      <w:pPr>
        <w:spacing w:before="0" w:after="0" w:line="408" w:lineRule="exact"/>
        <w:ind w:left="0" w:right="0" w:firstLine="576"/>
        <w:jc w:val="left"/>
      </w:pPr>
      <w:r>
        <w:rPr/>
        <w:t xml:space="preserve">(i) There is a known shortage of a fuel or low carbon fuel that is needed for regulated parties to comply with the carbon intensity standard established under section 3 of this act; and</w:t>
      </w:r>
    </w:p>
    <w:p>
      <w:pPr>
        <w:spacing w:before="0" w:after="0" w:line="408" w:lineRule="exact"/>
        <w:ind w:left="0" w:right="0" w:firstLine="576"/>
        <w:jc w:val="left"/>
      </w:pPr>
      <w:r>
        <w:rPr/>
        <w:t xml:space="preserve">(ii) The magnitude of the shortage of that fuel is greater than the equivalent of five percent of the amount of the fuel forecasted to be available during the effective compliance period; or</w:t>
      </w:r>
    </w:p>
    <w:p>
      <w:pPr>
        <w:spacing w:before="0" w:after="0" w:line="408" w:lineRule="exact"/>
        <w:ind w:left="0" w:right="0" w:firstLine="576"/>
        <w:jc w:val="left"/>
      </w:pPr>
      <w:r>
        <w:rPr/>
        <w:t xml:space="preserve">(b) Immediately upon the issuance by the governor of a proclamation, executive order, or directive pursuant to declaring an energy emergency under chapter 43.21G RCW due to a shortage of gasoline or diesel.</w:t>
      </w:r>
    </w:p>
    <w:p>
      <w:pPr>
        <w:spacing w:before="0" w:after="0" w:line="408" w:lineRule="exact"/>
        <w:ind w:left="0" w:right="0" w:firstLine="576"/>
        <w:jc w:val="left"/>
      </w:pPr>
      <w:r>
        <w:rPr/>
        <w:t xml:space="preserve">(2)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 and</w:t>
      </w:r>
    </w:p>
    <w:p>
      <w:pPr>
        <w:spacing w:before="0" w:after="0" w:line="408" w:lineRule="exact"/>
        <w:ind w:left="0" w:right="0" w:firstLine="576"/>
        <w:jc w:val="left"/>
      </w:pPr>
      <w:r>
        <w:rPr/>
        <w:t xml:space="preserve">(c) Which of the following methods the department has selected for deferring compliance with the scheduled applicable carbon intensity standard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one or more future compliance periods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(3)(a) In implementing an emergency deferral, the department may take an action for deferring compliance with the carbon intensity standard other than, or in addition to, selecting a method under subsection (2)(c) of this section only if the department determines that none of the methods under subsection (2)(c) of this section will provide a sufficient mechanism for containing the costs of compliance with the carbon intensity standards during the emergency deferral.</w:t>
      </w:r>
    </w:p>
    <w:p>
      <w:pPr>
        <w:spacing w:before="0" w:after="0" w:line="408" w:lineRule="exact"/>
        <w:ind w:left="0" w:right="0" w:firstLine="576"/>
        <w:jc w:val="left"/>
      </w:pPr>
      <w:r>
        <w:rPr/>
        <w:t xml:space="preserve">(b) If the department makes the determination specified in (a) of this subsection, the department shall:</w:t>
      </w:r>
    </w:p>
    <w:p>
      <w:pPr>
        <w:spacing w:before="0" w:after="0" w:line="408" w:lineRule="exact"/>
        <w:ind w:left="0" w:right="0" w:firstLine="576"/>
        <w:jc w:val="left"/>
      </w:pPr>
      <w:r>
        <w:rPr/>
        <w:t xml:space="preserve">(i) Include in the order declaring an emergency deferral the determination and the action to be taken; and</w:t>
      </w:r>
    </w:p>
    <w:p>
      <w:pPr>
        <w:spacing w:before="0" w:after="0" w:line="408" w:lineRule="exact"/>
        <w:ind w:left="0" w:right="0" w:firstLine="576"/>
        <w:jc w:val="left"/>
      </w:pPr>
      <w:r>
        <w:rPr/>
        <w:t xml:space="preserve">(ii) Provide written notification and justification of the determination and the action to:</w:t>
      </w:r>
    </w:p>
    <w:p>
      <w:pPr>
        <w:spacing w:before="0" w:after="0" w:line="408" w:lineRule="exact"/>
        <w:ind w:left="0" w:right="0" w:firstLine="576"/>
        <w:jc w:val="left"/>
      </w:pPr>
      <w:r>
        <w:rPr/>
        <w:t xml:space="preserve">(A) The governor;</w:t>
      </w:r>
    </w:p>
    <w:p>
      <w:pPr>
        <w:spacing w:before="0" w:after="0" w:line="408" w:lineRule="exact"/>
        <w:ind w:left="0" w:right="0" w:firstLine="576"/>
        <w:jc w:val="left"/>
      </w:pPr>
      <w:r>
        <w:rPr/>
        <w:t xml:space="preserve">(B) The president of the senate;</w:t>
      </w:r>
    </w:p>
    <w:p>
      <w:pPr>
        <w:spacing w:before="0" w:after="0" w:line="408" w:lineRule="exact"/>
        <w:ind w:left="0" w:right="0" w:firstLine="576"/>
        <w:jc w:val="left"/>
      </w:pPr>
      <w:r>
        <w:rPr/>
        <w:t xml:space="preserve">(C) The speaker of the house of representatives; and</w:t>
      </w:r>
    </w:p>
    <w:p>
      <w:pPr>
        <w:spacing w:before="0" w:after="0" w:line="408" w:lineRule="exact"/>
        <w:ind w:left="0" w:right="0" w:firstLine="576"/>
        <w:jc w:val="left"/>
      </w:pPr>
      <w:r>
        <w:rPr/>
        <w:t xml:space="preserve">(D) The appropriate committees of the house of representatives and the senate.</w:t>
      </w:r>
    </w:p>
    <w:p>
      <w:pPr>
        <w:spacing w:before="0" w:after="0" w:line="408" w:lineRule="exact"/>
        <w:ind w:left="0" w:right="0" w:firstLine="576"/>
        <w:jc w:val="left"/>
      </w:pPr>
      <w:r>
        <w:rPr/>
        <w:t xml:space="preserve">(4)(a) Except as provided in (b) of this subsection, the duration of an emergency deferral:</w:t>
      </w:r>
    </w:p>
    <w:p>
      <w:pPr>
        <w:spacing w:before="0" w:after="0" w:line="408" w:lineRule="exact"/>
        <w:ind w:left="0" w:right="0" w:firstLine="576"/>
        <w:jc w:val="left"/>
      </w:pPr>
      <w:r>
        <w:rPr/>
        <w:t xml:space="preserve">(i) Implemented using the method described in subsection (2)(c)(i) of this section may not be less than one calendar quarter; and</w:t>
      </w:r>
    </w:p>
    <w:p>
      <w:pPr>
        <w:spacing w:before="0" w:after="0" w:line="408" w:lineRule="exact"/>
        <w:ind w:left="0" w:right="0" w:firstLine="576"/>
        <w:jc w:val="left"/>
      </w:pPr>
      <w:r>
        <w:rPr/>
        <w:t xml:space="preserve">(ii) Implemented using a method described in subsection (2)(c)(ii) or (iii) or (3) of this section may not be less than 30 calendar days.</w:t>
      </w:r>
    </w:p>
    <w:p>
      <w:pPr>
        <w:spacing w:before="0" w:after="0" w:line="408" w:lineRule="exact"/>
        <w:ind w:left="0" w:right="0" w:firstLine="576"/>
        <w:jc w:val="left"/>
      </w:pPr>
      <w:r>
        <w:rPr/>
        <w:t xml:space="preserve">(b) An emergency deferral may not continue past the end of the compliance period during which the emergency deferral is issued.</w:t>
      </w:r>
    </w:p>
    <w:p>
      <w:pPr>
        <w:spacing w:before="0" w:after="0" w:line="408" w:lineRule="exact"/>
        <w:ind w:left="0" w:right="0" w:firstLine="576"/>
        <w:jc w:val="left"/>
      </w:pPr>
      <w:r>
        <w:rPr/>
        <w:t xml:space="preserve">(c) The department may terminate an emergency deferral prior to the expiration date of the emergency deferral only if new information becomes available indicating that the shortage for which the emergency deferral was issued has ended. Termination of an emergency deferral is effective 15 calendar days after the date that the order declaring the termination is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generation, purchase, sale, transfer, or retirement of credits under chapter 70A.--- RCW (the new chapter created in section 27 of this act).</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27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27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27 of this act) RCW, the requirements of chapter 70A.--- (the new chapter created in section 27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27 of this act) RCW, the requirements of chapter 70A.--- (the new chapter created in section 27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Washington State University's energy program must initiate a least conflict priority clean energy project siting program in coordination with the energy facility site evaluation council, the department of ecology, the department of commerce, the department of fish and wildlife, local governments, clean energy stakeholders, conservation stakeholders, and Indian tribes. This program must engage all relevant agencies, stakeholders, and Indian tribes to identify priority areas in Washington state with the least amount of potential environmental impact and other conflict over competing land uses in the siting of major clean energy projects with the potential to produce significant volumes of transportation fuel with a low carbon intensity, or that support the production of such transportation fuel. Washington State University's energy program may identify different priority areas for different types of industrial or manufacturing clean energy projects with the potential to produce significant volumes of transportation fuel with a low carbon intensity in sectors including, but not limited to, biofuels, agricultural and forest biomass, hydrogen produced via electrolysis of water, and renewable natural gas.</w:t>
      </w:r>
    </w:p>
    <w:p>
      <w:pPr>
        <w:spacing w:before="0" w:after="0" w:line="408" w:lineRule="exact"/>
        <w:ind w:left="0" w:right="0" w:firstLine="576"/>
        <w:jc w:val="left"/>
      </w:pPr>
      <w:r>
        <w:rPr/>
        <w:t xml:space="preserve">(2) A project proposed in an area designated under subsection (1) of this section does not receive a guarantee or assurance of being permitted and is subject to review consistent with chapter 43.21C RCW and applicable environmental permit processes. Project proponents are not limited to proposing projects in identified least conflict zones.</w:t>
      </w:r>
    </w:p>
    <w:p>
      <w:pPr>
        <w:spacing w:before="0" w:after="0" w:line="408" w:lineRule="exact"/>
        <w:ind w:left="0" w:right="0" w:firstLine="576"/>
        <w:jc w:val="left"/>
      </w:pPr>
      <w:r>
        <w:rPr/>
        <w:t xml:space="preserve">(3) The identification of priority areas completed in subsection (1) of this section must be updated at least once every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in consultation with the department of commerce, must periodically convene stakeholders, including all of those identified in section 25 of this act, Indian tribes, and the member agencies of the energy facility site evaluation council to identify and discuss avoidance, minimization, and mitigation of significant likely environmental impacts of clean energy projects specified in section 25 of this act. The environmental impacts identified and discussed must include, but are not limited to, air quality impacts, impacts to land and aquatic habitats, and wildlife impacts that may result from clean energy projects. The department must periodically provide a report to the appropriate committees of the house of representatives and the senate identifying mitigation resources, funding needs, and potential policies and programs to modify permitting and environmental review necessary for construction of clean energy projects with the potential to produce significant volumes of transportation fuel with a low carbon intensity, or that support the production of such transportation fuel,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90201755d1c40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df780b56944273" /><Relationship Type="http://schemas.openxmlformats.org/officeDocument/2006/relationships/footer" Target="/word/footer1.xml" Id="Ra90201755d1c4089" /></Relationships>
</file>