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f36a73d764692" /></Relationships>
</file>

<file path=word/document.xml><?xml version="1.0" encoding="utf-8"?>
<w:document xmlns:w="http://schemas.openxmlformats.org/wordprocessingml/2006/main">
  <w:body>
    <w:p>
      <w:r>
        <w:t>Z-0020.2</w:t>
      </w:r>
    </w:p>
    <w:p>
      <w:pPr>
        <w:jc w:val="center"/>
      </w:pPr>
      <w:r>
        <w:t>_______________________________________________</w:t>
      </w:r>
    </w:p>
    <w:p/>
    <w:p>
      <w:pPr>
        <w:jc w:val="center"/>
      </w:pPr>
      <w:r>
        <w:rPr>
          <w:b/>
        </w:rPr>
        <w:t>HOUSE BILL 1162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Stonier, Harris, Lekanoff, Hackney, Pollet, Dolan, and Callan; by request of State Board of Education</w:t>
      </w:r>
    </w:p>
    <w:p/>
    <w:p>
      <w:r>
        <w:rPr>
          <w:t xml:space="preserve">Read first time 01/12/21.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graduation credit and pathway options; amending RCW 28A.230.090 and 28A.655.250;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2020 c 307 s 6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w:t>
      </w:r>
      <w:r>
        <w:rPr>
          <w:u w:val="single"/>
        </w:rPr>
        <w:t xml:space="preserve">state board of education may propose and adopt changes to the high school graduation requirements in accordance with the process outlined in subsection (2) of this section.</w:t>
      </w:r>
    </w:p>
    <w:p>
      <w:pPr>
        <w:spacing w:before="0" w:after="0" w:line="408" w:lineRule="exact"/>
        <w:ind w:left="0" w:right="0" w:firstLine="576"/>
        <w:jc w:val="left"/>
      </w:pPr>
      <w:r>
        <w:rPr>
          <w:u w:val="single"/>
        </w:rPr>
        <w:t xml:space="preserve">(A) For the graduating classes of 2019 and 2020, the</w:t>
      </w:r>
      <w:r>
        <w:rPr/>
        <w:t xml:space="preserve"> rules must include authorization for a school district </w:t>
      </w:r>
      <w:r>
        <w:rPr>
          <w:u w:val="single"/>
        </w:rPr>
        <w:t xml:space="preserve">implementing the career and college ready graduation requirements under this subsection (1)(e)</w:t>
      </w:r>
      <w:r>
        <w:rPr/>
        <w:t xml:space="preserve">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w:t>
      </w:r>
    </w:p>
    <w:p>
      <w:pPr>
        <w:spacing w:before="0" w:after="0" w:line="408" w:lineRule="exact"/>
        <w:ind w:left="0" w:right="0" w:firstLine="576"/>
        <w:jc w:val="left"/>
      </w:pPr>
      <w:r>
        <w:rPr>
          <w:u w:val="single"/>
        </w:rPr>
        <w:t xml:space="preserve">(B)</w:t>
      </w:r>
      <w:r>
        <w:rPr/>
        <w:t xml:space="preserve">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u w:val="single"/>
        </w:rPr>
        <w:t xml:space="preserve">(C) The limitations on the ability of a school district to grant waivers under this subsection (1)(e)(i) do not apply in circumstances where a district is granted flexibility from state requirements under an emergency waiver program established in chapter . . . (Senate or House Bill No. . . . (Z-0021/21)), Laws of 2021.</w:t>
      </w:r>
    </w:p>
    <w:p>
      <w:pPr>
        <w:spacing w:before="0" w:after="0" w:line="408" w:lineRule="exact"/>
        <w:ind w:left="0" w:right="0" w:firstLine="576"/>
        <w:jc w:val="left"/>
      </w:pPr>
      <w:r>
        <w:rPr/>
        <w:t xml:space="preserve">(ii) </w:t>
      </w:r>
      <w:r>
        <w:rPr>
          <w:u w:val="single"/>
        </w:rPr>
        <w:t xml:space="preserve">Beginning with the graduating class of 2021, a student may graduate provided that the student completes the following:</w:t>
      </w:r>
    </w:p>
    <w:p>
      <w:pPr>
        <w:spacing w:before="0" w:after="0" w:line="408" w:lineRule="exact"/>
        <w:ind w:left="0" w:right="0" w:firstLine="576"/>
        <w:jc w:val="left"/>
      </w:pPr>
      <w:r>
        <w:rPr>
          <w:u w:val="single"/>
        </w:rPr>
        <w:t xml:space="preserve">(A) The requirements established in RCW 28A.655.250; and</w:t>
      </w:r>
    </w:p>
    <w:p>
      <w:pPr>
        <w:spacing w:before="0" w:after="0" w:line="408" w:lineRule="exact"/>
        <w:ind w:left="0" w:right="0" w:firstLine="576"/>
        <w:jc w:val="left"/>
      </w:pPr>
      <w:r>
        <w:rPr>
          <w:u w:val="single"/>
        </w:rPr>
        <w:t xml:space="preserve">(B) At least twenty credits including both the mandatory core subject credits and the personalized pathway requirements as defined by the state board of education under the authority granted in this subsection (1)(e)</w:t>
      </w:r>
      <w:r>
        <w:rPr>
          <w:u w:val="single"/>
        </w:rPr>
        <w:t xml:space="preserve">.</w:t>
      </w:r>
    </w:p>
    <w:p>
      <w:pPr>
        <w:spacing w:before="0" w:after="0" w:line="408" w:lineRule="exact"/>
        <w:ind w:left="0" w:right="0" w:firstLine="576"/>
        <w:jc w:val="left"/>
      </w:pPr>
      <w:r>
        <w:rPr>
          <w:u w:val="single"/>
        </w:rPr>
        <w:t xml:space="preserve">(iii) Nothing in (e)(ii) of this subsection exempts the school district from providing students the opportunity to complete twenty-four credits as required under RCW 28A.150.220.</w:t>
      </w:r>
    </w:p>
    <w:p>
      <w:pPr>
        <w:spacing w:before="0" w:after="0" w:line="408" w:lineRule="exact"/>
        <w:ind w:left="0" w:right="0" w:firstLine="576"/>
        <w:jc w:val="left"/>
      </w:pPr>
      <w:r>
        <w:rPr>
          <w:u w:val="single"/>
        </w:rPr>
        <w:t xml:space="preserve">(iv)</w:t>
      </w:r>
      <w:r>
        <w:rPr/>
        <w:t xml:space="preserve">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w:t>
      </w:r>
      <w:r>
        <w:t>))</w:t>
      </w:r>
      <w:r>
        <w:rPr/>
        <w:t xml:space="preserve"> </w:t>
      </w:r>
      <w:r>
        <w:rPr>
          <w:u w:val="single"/>
        </w:rPr>
        <w:t xml:space="preserve">(v)</w:t>
      </w:r>
      <w:r>
        <w:rPr/>
        <w:t xml:space="preserve">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w:t>
      </w:r>
      <w:r>
        <w:t>((</w:t>
      </w:r>
      <w:r>
        <w:rPr>
          <w:strike/>
        </w:rPr>
        <w:t xml:space="preserve">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r>
        <w:t>))</w:t>
      </w:r>
      <w:r>
        <w:rPr/>
        <w:t xml:space="preserve"> </w:t>
      </w:r>
      <w:r>
        <w:rPr>
          <w:u w:val="single"/>
        </w:rPr>
        <w:t xml:space="preserve">high school diploma</w:t>
      </w:r>
      <w:r>
        <w:rPr/>
        <w:t xml:space="preserve">.</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2019 c 252 s 201 are each amended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w:t>
      </w:r>
      <w:r>
        <w:t>((</w:t>
      </w:r>
      <w:r>
        <w:rPr>
          <w:strike/>
        </w:rPr>
        <w:t xml:space="preserve">and</w:t>
      </w:r>
      <w:r>
        <w:t>))</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r>
        <w:rPr>
          <w:u w:val="single"/>
        </w:rPr>
        <w:t xml:space="preserve">; and</w:t>
      </w:r>
    </w:p>
    <w:p>
      <w:pPr>
        <w:spacing w:before="0" w:after="0" w:line="408" w:lineRule="exact"/>
        <w:ind w:left="0" w:right="0" w:firstLine="576"/>
        <w:jc w:val="left"/>
      </w:pPr>
      <w:r>
        <w:rPr>
          <w:u w:val="single"/>
        </w:rPr>
        <w:t xml:space="preserve">(ix) Complete a portfolio that includes authentic evidence demonstrating the student's mastery of state learning standards in two or more subject areas that are most directly aligned with the student's education or career goals as stated in the student's high school and beyond plan. The district board of directors shall adopt a written policy aligned with state requirements that describes the district's process for approval of the student's plan to demonstrate mastery of learning standards through their portfolio and the district's process for evaluation of the student's completed portfolio</w:t>
      </w:r>
      <w:r>
        <w:rPr/>
        <w:t xml:space="preserve">.</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w:t>
      </w:r>
      <w:r>
        <w:rPr>
          <w:u w:val="single"/>
        </w:rPr>
        <w:t xml:space="preserve">School districts shall determine if there is disproportionality among student subgroups participating in and completing each graduation pathway option offered by the school district and, if so, take appropriate corrective actions to ensure the pathway options are equitable. At a minimum, the subgroups to be examined must include those referenced in RCW 28A.300.042(3). If further disaggregation of subgroups is available, the school district shall also examine those subgroups.</w:t>
      </w:r>
    </w:p>
    <w:p>
      <w:pPr>
        <w:spacing w:before="0" w:after="0" w:line="408" w:lineRule="exact"/>
        <w:ind w:left="0" w:right="0" w:firstLine="576"/>
        <w:jc w:val="left"/>
      </w:pPr>
      <w:r>
        <w:rPr>
          <w:u w:val="single"/>
        </w:rPr>
        <w:t xml:space="preserve">(4)</w:t>
      </w:r>
      <w:r>
        <w:rPr/>
        <w:t xml:space="preserve">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476b1a5c6c948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9b02afaef4cd4" /><Relationship Type="http://schemas.openxmlformats.org/officeDocument/2006/relationships/footer" Target="/word/footer1.xml" Id="R3476b1a5c6c94832" /></Relationships>
</file>