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e07363b12d44ee" /></Relationships>
</file>

<file path=word/document.xml><?xml version="1.0" encoding="utf-8"?>
<w:document xmlns:w="http://schemas.openxmlformats.org/wordprocessingml/2006/main">
  <w:body>
    <w:p>
      <w:r>
        <w:t>H-0631.3</w:t>
      </w:r>
    </w:p>
    <w:p>
      <w:pPr>
        <w:jc w:val="center"/>
      </w:pPr>
      <w:r>
        <w:t>_______________________________________________</w:t>
      </w:r>
    </w:p>
    <w:p/>
    <w:p>
      <w:pPr>
        <w:jc w:val="center"/>
      </w:pPr>
      <w:r>
        <w:rPr>
          <w:b/>
        </w:rPr>
        <w:t>SUBSTITUTE HOUSE BILL 1168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Springer, Kretz, Fitzgibbon, Griffey, Riccelli, Lekanoff, Ramos, Callan, Harris-Talley, Dent, and Klicker)</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forest health and the reduction of wildfire dangers; amending RCW 76.06.200 and 76.06.150; adding new sections to chapter 76.04 RCW; adding a new section to chapter 76.13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forestland and rangeland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w:t>
      </w:r>
    </w:p>
    <w:p>
      <w:pPr>
        <w:spacing w:before="0" w:after="0" w:line="408" w:lineRule="exact"/>
        <w:ind w:left="0" w:right="0" w:firstLine="576"/>
        <w:jc w:val="left"/>
      </w:pPr>
      <w:r>
        <w:rPr/>
        <w:t xml:space="preserve">(2) Recent wildfires have devastated state, federal, tribal, and private lands, destroyed homes and property, and taken lives. These fires have also released greenhouse gases, destroyed critical fish and wildlife habitat, filled our skies with harmful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(3)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(4) The increase in these uncharacteristic wildfires are the result of a combination of climate change-driven drought, hotter temperature, and windstorms; human development patterns and land use planning and activities; and where uncharacteristic fires occur in forests, by past fire suppression and departures from native ecosystem structure and function. Uncharacteristic wildfire risk is addressed through scientifically informed landscape-level treatments designed to restore forest ecosystem and watershed resilience. </w:t>
      </w:r>
    </w:p>
    <w:p>
      <w:pPr>
        <w:spacing w:before="0" w:after="0" w:line="408" w:lineRule="exact"/>
        <w:ind w:left="0" w:right="0" w:firstLine="576"/>
        <w:jc w:val="left"/>
      </w:pPr>
      <w:r>
        <w:rPr/>
        <w:t xml:space="preserve">(5)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(6) The legislature has recognized our forests, as well as the manufacturing and utilization of wood products, as a natural carbon solution and critical component of our state's carbon reduction strategy pursuant to chapter 120, Laws of 2020. Uncharacteristic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(7)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 In addition to reducing fuel loads, many effective forest health treatments retain and restore older, large fire-resilient trees across the landscape that play an important role in carbon sequestration, enhancing climate resilience and ecosystem services, and mitigating climate change.</w:t>
      </w:r>
    </w:p>
    <w:p>
      <w:pPr>
        <w:spacing w:before="0" w:after="0" w:line="408" w:lineRule="exact"/>
        <w:ind w:left="0" w:right="0" w:firstLine="576"/>
        <w:jc w:val="left"/>
      </w:pPr>
      <w:r>
        <w:rPr/>
        <w:t xml:space="preserve">(8)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(9)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(10)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rangeland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(11)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(12) Historical forest management, legacy wildfire suppression responses,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the wildland fire protection 10-year strategic plan, and RCW 79.10.520 will reduce the risk of catastrophic wildfires.</w:t>
      </w:r>
    </w:p>
    <w:p>
      <w:pPr>
        <w:spacing w:before="0" w:after="0" w:line="408" w:lineRule="exact"/>
        <w:ind w:left="0" w:right="0" w:firstLine="576"/>
        <w:jc w:val="left"/>
      </w:pPr>
      <w:r>
        <w:rPr/>
        <w:t xml:space="preserve">(13)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(14)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(15)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(16) Washington state has nearly eight million acres of private forestlands. Forested acres are declining statewide with a loss of 394,000 acres between 2007 and 2019. Small forestland owners account for 15 percent of total forest acres. Small forestland owner forested acres declined 3.7 percent from 2,990,000 acres in 2007 to 2,880,000 million acres in 2019. The number of small forestland owners increased 8.5 percent from 201,000 in 2007 to 218,000 in 2019. The number of small forestland owner parcels increased 2.1 percent from 256,500 to 261,800. This rapid land use change creates significant challenges for implementing forest health and wildfire response actions in the wildland urban interface. In eastern Washington alone, approximately 288,000 acres owned by small forestland owners are in need of immediate forest health treatment. These forestlands provide critical raw materials for the forest industry, rural economic opportunities, fish and wildlife habitat, cultural resources, and recreation. A coordinated interagency response is needed to address the multifaceted challenge posed by increasing parcelization, forest fragmentation, loss of economic viability, and changes in landowner assistance needs.</w:t>
      </w:r>
    </w:p>
    <w:p>
      <w:pPr>
        <w:spacing w:before="0" w:after="0" w:line="408" w:lineRule="exact"/>
        <w:ind w:left="0" w:right="0" w:firstLine="576"/>
        <w:jc w:val="left"/>
      </w:pPr>
      <w:r>
        <w:rPr/>
        <w:t xml:space="preserve">(17) The legislature finds that increasing the pace and scale of science-based forest health activities to reduce hazardous fuels and restore fire resilient forests, including through mechanical thinning and prescribed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(18)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(19)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(20)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(21) Furthermore, it is the intent of the legislature to take immediate action to increase the pace and scale of forest management across different land ownerships and fully fund the 20-year forest health strategic plan and activities developed to facilitate implementation of the Washington state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 and improve watershed health;</w:t>
      </w:r>
    </w:p>
    <w:p>
      <w:pPr>
        <w:spacing w:before="0" w:after="0" w:line="408" w:lineRule="exact"/>
        <w:ind w:left="0" w:right="0" w:firstLine="576"/>
        <w:jc w:val="left"/>
      </w:pPr>
      <w:r>
        <w:rPr/>
        <w:t xml:space="preserve">(b) Increasing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w:t>
      </w:r>
    </w:p>
    <w:p>
      <w:pPr>
        <w:spacing w:before="0" w:after="0" w:line="408" w:lineRule="exact"/>
        <w:ind w:left="0" w:right="0" w:firstLine="576"/>
        <w:jc w:val="left"/>
      </w:pPr>
      <w:r>
        <w:rPr/>
        <w:t xml:space="preserve">(d) Funding an integrated small forestland owner forest health program in support of extending management and control of wildfire from homes through the wildland urban interface to small forestland owner holdings; and</w:t>
      </w:r>
    </w:p>
    <w:p>
      <w:pPr>
        <w:spacing w:before="0" w:after="0" w:line="408" w:lineRule="exact"/>
        <w:ind w:left="0" w:right="0" w:firstLine="576"/>
        <w:jc w:val="left"/>
      </w:pPr>
      <w:r>
        <w:rPr/>
        <w:t xml:space="preserve">(e)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(22)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(23) The legislature intends that these investments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and the Washington state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forest health program and landowner assistance program in section 7 of this act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 and</w:t>
      </w:r>
    </w:p>
    <w:p>
      <w:pPr>
        <w:spacing w:before="0" w:after="0" w:line="408" w:lineRule="exact"/>
        <w:ind w:left="0" w:right="0" w:firstLine="576"/>
        <w:jc w:val="left"/>
      </w:pPr>
      <w:r>
        <w:rPr>
          <w:u w:val="single"/>
        </w:rPr>
        <w:t xml:space="preserve">(e)</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secondary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state registered apprenticeship programs, recognized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and contractors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0" w:after="0" w:line="408" w:lineRule="exact"/>
        <w:ind w:left="0" w:right="0" w:firstLine="576"/>
        <w:jc w:val="left"/>
      </w:pPr>
      <w:r>
        <w:rPr/>
        <w:t xml:space="preserve">(6) To the maximum extent possible, workforce development programs and policies should prioritize historically marginalized, underrepresented, rural, and low-income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SMALL FORESTLAND OWNER FOREST HEALTH PROGRAM.</w:t>
      </w:r>
    </w:p>
    <w:p>
      <w:pPr>
        <w:spacing w:before="0" w:after="0" w:line="408" w:lineRule="exact"/>
        <w:ind w:left="0" w:right="0" w:firstLine="576"/>
        <w:jc w:val="left"/>
      </w:pPr>
      <w:r>
        <w:rPr/>
        <w:t xml:space="preserve">(1) There is established an integrated small forestland owner forest health program that promotes the coordination and delivery of services with federal, state, and local agencies, including local fire districts, conservation districts, and community wildfire resilience coalitions, forest landowner associations, colleges and universities, landowner assistance organizations, consultants, forest resource-related industries, and environmental organizations to nonindustrial forests and woodland owners, hereafter referred to as small forestland owners.</w:t>
      </w:r>
    </w:p>
    <w:p>
      <w:pPr>
        <w:spacing w:before="0" w:after="0" w:line="408" w:lineRule="exact"/>
        <w:ind w:left="0" w:right="0" w:firstLine="576"/>
        <w:jc w:val="left"/>
      </w:pPr>
      <w:r>
        <w:rPr/>
        <w:t xml:space="preserve">(2) Under the state forester's direction, the program must:</w:t>
      </w:r>
    </w:p>
    <w:p>
      <w:pPr>
        <w:spacing w:before="0" w:after="0" w:line="408" w:lineRule="exact"/>
        <w:ind w:left="0" w:right="0" w:firstLine="576"/>
        <w:jc w:val="left"/>
      </w:pPr>
      <w:r>
        <w:rPr/>
        <w:t xml:space="preserve">(a) Integrate existing landowner assistance forest health programs consistent with the recommendations of "Washington's Small Forest Landowners in 2020, Status, Trends and Recommendations after 20 years of Forests &amp; Fish, January 2021" (the report required by chapter 457, Laws of 2019), to more efficiently and effectively reach the diversity of small forestland owner audiences to take forest health action;</w:t>
      </w:r>
    </w:p>
    <w:p>
      <w:pPr>
        <w:spacing w:before="0" w:after="0" w:line="408" w:lineRule="exact"/>
        <w:ind w:left="0" w:right="0" w:firstLine="576"/>
        <w:jc w:val="left"/>
      </w:pPr>
      <w:r>
        <w:rPr/>
        <w:t xml:space="preserve">(b) Identify and remove barriers to technical assistance, funding, and forest health management planning;</w:t>
      </w:r>
    </w:p>
    <w:p>
      <w:pPr>
        <w:spacing w:before="0" w:after="0" w:line="408" w:lineRule="exact"/>
        <w:ind w:left="0" w:right="0" w:firstLine="576"/>
        <w:jc w:val="left"/>
      </w:pPr>
      <w:r>
        <w:rPr/>
        <w:t xml:space="preserve">(c) Increase education and outreach to small forestland owners; and</w:t>
      </w:r>
    </w:p>
    <w:p>
      <w:pPr>
        <w:spacing w:before="0" w:after="0" w:line="408" w:lineRule="exact"/>
        <w:ind w:left="0" w:right="0" w:firstLine="576"/>
        <w:jc w:val="left"/>
      </w:pPr>
      <w:r>
        <w:rPr/>
        <w:t xml:space="preserve">(d) Distribute funding effectively to move high wildfire risk areas to lower risk.</w:t>
      </w:r>
    </w:p>
    <w:p>
      <w:pPr>
        <w:spacing w:before="0" w:after="0" w:line="408" w:lineRule="exact"/>
        <w:ind w:left="0" w:right="0" w:firstLine="576"/>
        <w:jc w:val="left"/>
      </w:pPr>
      <w:r>
        <w:rPr/>
        <w:t xml:space="preserve">(3) Priority areas for forest health treatment under the Washington state forest action plan, the 10-year forest health strategic plan, and the wildland fire protection 10-year strategic plan may not prohibit technical support or stewardship plan support for small forestland owner lands outside the designated emphasis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AVIATION RESPONSE.</w:t>
      </w:r>
      <w:r>
        <w:t xml:space="preserve">  </w:t>
      </w:r>
      <w:r>
        <w:rPr/>
        <w:t xml:space="preserve">The department must develop and implement a wildland fire aviation support plan, as recommended by the wildland fire protection 10-year strategic plan, in order to expand and improve the effectiveness and cost-efficiency of the department's wildland fire aviation program. The wildland fire aviation support plan must include:</w:t>
      </w:r>
    </w:p>
    <w:p>
      <w:pPr>
        <w:spacing w:before="0" w:after="0" w:line="408" w:lineRule="exact"/>
        <w:ind w:left="0" w:right="0" w:firstLine="576"/>
        <w:jc w:val="left"/>
      </w:pPr>
      <w:r>
        <w:rPr/>
        <w:t xml:space="preserve">(1) Recommendations for the addition of air assets in order for the department to increase its initial attack capability and maintain and improve on the department's ability to manage fires to meet 10-year wildland fire protection and 20-year forest health strategic plan goals;</w:t>
      </w:r>
    </w:p>
    <w:p>
      <w:pPr>
        <w:spacing w:before="0" w:after="0" w:line="408" w:lineRule="exact"/>
        <w:ind w:left="0" w:right="0" w:firstLine="576"/>
        <w:jc w:val="left"/>
      </w:pPr>
      <w:r>
        <w:rPr/>
        <w:t xml:space="preserve">(2) Development of a next-generation rotor wing platform strategy to ensure the availability and use of the latest firefighting aviation technology and provide a path for either the upgrade or replacement, or both, of the department's legacy aircraft;</w:t>
      </w:r>
    </w:p>
    <w:p>
      <w:pPr>
        <w:spacing w:before="0" w:after="0" w:line="408" w:lineRule="exact"/>
        <w:ind w:left="0" w:right="0" w:firstLine="576"/>
        <w:jc w:val="left"/>
      </w:pPr>
      <w:r>
        <w:rPr/>
        <w:t xml:space="preserve">(3) Evaluation of opportunities to increase the use of contract air assets;</w:t>
      </w:r>
    </w:p>
    <w:p>
      <w:pPr>
        <w:spacing w:before="0" w:after="0" w:line="408" w:lineRule="exact"/>
        <w:ind w:left="0" w:right="0" w:firstLine="576"/>
        <w:jc w:val="left"/>
      </w:pPr>
      <w:r>
        <w:rPr/>
        <w:t xml:space="preserve">(4) Evaluation of costs and benefits to increase dedicated air resources during peak fire season when there may be limited available supply due to wildfire activity in other states; and</w:t>
      </w:r>
    </w:p>
    <w:p>
      <w:pPr>
        <w:spacing w:before="0" w:after="0" w:line="408" w:lineRule="exact"/>
        <w:ind w:left="0" w:right="0" w:firstLine="576"/>
        <w:jc w:val="left"/>
      </w:pPr>
      <w:r>
        <w:rPr/>
        <w:t xml:space="preserve">(5) Strategies to upgrade retardant loading and processing infrastructure to improve tanker turnaround time, including support for development of infrastructure to accommodate very large air tankers, at a port with an international airport within a county east of the crest of the Cascade mountains that does not share a border with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8 of this act are each added to chapter 76.04 RCW and codified with the subchapter heading of "wildfire response, forest restoration, and community resilience."</w:t>
      </w:r>
    </w:p>
    <w:p/>
    <w:p>
      <w:pPr>
        <w:jc w:val="center"/>
      </w:pPr>
      <w:r>
        <w:rPr>
          <w:b/>
        </w:rPr>
        <w:t>--- END ---</w:t>
      </w:r>
    </w:p>
    <w:sectPr>
      <w:pgNumType w:start="1"/>
      <w:footerReference xmlns:r="http://schemas.openxmlformats.org/officeDocument/2006/relationships" r:id="R2c4742f4ea244d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18b1ef9574a56" /><Relationship Type="http://schemas.openxmlformats.org/officeDocument/2006/relationships/footer" Target="/word/footer1.xml" Id="R2c4742f4ea244dda" /></Relationships>
</file>