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0685aca7e4f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Goodman, Davis, Dolan, Simmons, Bateman, Lekanoff, Springer, Gregerson, Senn, Fitzgibbon, Ramos, Frame, Ramel, Peterson, Lovick, Ryu, Callan, Slatter, Duerr, Ormsby, Macri, and Hackney)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enhancements; amending RCW 9.94A.030, 9.94A.599, 9.94A.729, 10.01.210, and 72.01.410; reenacting and amending RCW 9.94A.030 and 9.94A.533; adding a new section to chapter 9.94A RCW; creating new sections; repealing RCW 9.94A.833 and 69.50.435;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eighteen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eighteen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firearm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firearm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deadly weapon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deadly weapon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deadly weapon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w:t>
      </w:r>
      <w:r>
        <w:t>((</w:t>
      </w:r>
      <w:r>
        <w:rPr>
          <w:strike/>
        </w:rPr>
        <w:t xml:space="preserve">69.50.435 or</w:t>
      </w:r>
      <w:r>
        <w:t>))</w:t>
      </w:r>
      <w:r>
        <w:rPr/>
        <w:t xml:space="preserve"> 9.94A.827. </w:t>
      </w:r>
      <w:r>
        <w:t>((</w:t>
      </w:r>
      <w:r>
        <w:rPr>
          <w:strike/>
        </w:rPr>
        <w:t xml:space="preserve">All enhancements under this subsection shall run consecutively to all other sentencing provisions, for all offenses sentenced under this chapter.</w:t>
      </w:r>
      <w:r>
        <w:t>))</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w:t>
      </w:r>
      <w:r>
        <w:t>((</w:t>
      </w:r>
      <w:r>
        <w:rPr>
          <w:strike/>
        </w:rPr>
        <w:t xml:space="preserve">, shall be served in total confinement,</w:t>
      </w:r>
      <w:r>
        <w:t>))</w:t>
      </w:r>
      <w:r>
        <w:rPr/>
        <w:t xml:space="preserve"> and shall run consecutively to all other sentencing provisions, including other impaired driving enhancements, for all offenses sentenced under this chapter. </w:t>
      </w:r>
      <w:r>
        <w:rPr>
          <w:u w:val="single"/>
        </w:rPr>
        <w:t xml:space="preserve">If the offender has three or more prior offenses as defined in RCW 46.61.5055, all enhancements in this subsection must be served in total confinement.</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w:t>
      </w:r>
      <w:r>
        <w:t>((</w:t>
      </w:r>
      <w:r>
        <w:rPr>
          <w:strike/>
        </w:rPr>
        <w:t xml:space="preserve">total</w:t>
      </w:r>
      <w:r>
        <w:t>))</w:t>
      </w:r>
      <w:r>
        <w:rPr/>
        <w:t xml:space="preserve">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w:t>
      </w:r>
      <w:r>
        <w:t>((</w:t>
      </w:r>
      <w:r>
        <w:rPr>
          <w:strike/>
        </w:rPr>
        <w:t xml:space="preserve">, shall be served in total confinement,</w:t>
      </w:r>
      <w:r>
        <w:t>))</w:t>
      </w:r>
      <w:r>
        <w:rPr/>
        <w:t xml:space="preserve">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w:t>
      </w:r>
      <w:r>
        <w:t>((</w:t>
      </w:r>
      <w:r>
        <w:rPr>
          <w:strike/>
        </w:rPr>
        <w:t xml:space="preserve">. If the addition of a sexual motivation enhancement increases the sentence so that it would exceed the statutory maximum for the offense, the portion of the sentence representing the enhancement may not be reduced</w:t>
      </w:r>
      <w:r>
        <w:t>))</w:t>
      </w:r>
      <w:r>
        <w:rPr/>
        <w:t xml:space="preserve">;</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w:t>
      </w:r>
      <w:r>
        <w:t>((</w:t>
      </w:r>
      <w:r>
        <w:rPr>
          <w:strike/>
        </w:rPr>
        <w:t xml:space="preserve">total</w:t>
      </w:r>
      <w:r>
        <w:t>))</w:t>
      </w:r>
      <w:r>
        <w:rPr/>
        <w:t xml:space="preserve">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w:t>
      </w:r>
      <w:r>
        <w:t>((</w:t>
      </w:r>
      <w:r>
        <w:rPr>
          <w:strike/>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strike/>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strike/>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strike/>
        </w:rPr>
        <w:t xml:space="preserve">(11)</w:t>
      </w:r>
      <w:r>
        <w:t>))</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w:t>
      </w:r>
      <w:r>
        <w:t>((</w:t>
      </w:r>
      <w:r>
        <w:rPr>
          <w:strike/>
        </w:rPr>
        <w:t xml:space="preserve">, shall be served in total confinement,</w:t>
      </w:r>
      <w:r>
        <w:t>))</w:t>
      </w:r>
      <w:r>
        <w:rPr/>
        <w:t xml:space="preserve"> and shall run consecutively to all other sentencing provisions, including other minor child enhancements, for all offenses sentenced under this chapter. </w:t>
      </w:r>
      <w:r>
        <w:t>((</w:t>
      </w:r>
      <w:r>
        <w:rPr>
          <w:strike/>
        </w:rPr>
        <w:t xml:space="preserve">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r>
        <w:t>))</w:t>
      </w:r>
      <w:r>
        <w:rPr/>
        <w:t xml:space="preserve"> </w:t>
      </w:r>
      <w:r>
        <w:rPr>
          <w:u w:val="single"/>
        </w:rPr>
        <w:t xml:space="preserve">If the defendant has three or more prior offenses as defined in RCW 46.61.5055, all enhancements in this subsection must be served in total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599</w:t>
      </w:r>
      <w:r>
        <w:rPr/>
        <w:t xml:space="preserve"> and 1998 c 235 s 3 are each amended to read as follows:</w:t>
      </w:r>
    </w:p>
    <w:p>
      <w:pPr>
        <w:spacing w:before="0" w:after="0" w:line="408" w:lineRule="exact"/>
        <w:ind w:left="0" w:right="0" w:firstLine="576"/>
        <w:jc w:val="left"/>
      </w:pPr>
      <w:r>
        <w:rPr/>
        <w:t xml:space="preserve">If the presumptive sentence duration given in the sentencing grid exceeds the statutory maximum sentence for the offense, the statutory maximum sentence shall be the presumptive sentence. </w:t>
      </w:r>
      <w:r>
        <w:t>((</w:t>
      </w:r>
      <w:r>
        <w:rPr>
          <w:strike/>
        </w:rPr>
        <w:t xml:space="preserve">If the addition of a firearm or deadly weapon enhancement increases the sentence so that it would exceed the statutory maximum for the offense, the portion of the sentence representing the enhancement may not be reduced.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w:t>
      </w:r>
      <w:r>
        <w:t>((</w:t>
      </w:r>
      <w:r>
        <w:rPr>
          <w:strike/>
        </w:rPr>
        <w:t xml:space="preserve">RCW 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w:t>
      </w:r>
      <w:r>
        <w:t>((</w:t>
      </w:r>
      <w:r>
        <w:rPr>
          <w:strike/>
        </w:rPr>
        <w:t xml:space="preserve">eighteen</w:t>
      </w:r>
      <w:r>
        <w:t>))</w:t>
      </w:r>
      <w:r>
        <w:rPr/>
        <w:t xml:space="preserve"> </w:t>
      </w:r>
      <w:r>
        <w:rPr>
          <w:u w:val="single"/>
        </w:rPr>
        <w:t xml:space="preserve">18</w:t>
      </w:r>
      <w:r>
        <w:rPr/>
        <w:t xml:space="preserve">,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(4)</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w:t>
      </w:r>
      <w:r>
        <w:t>((</w:t>
      </w:r>
      <w:r>
        <w:rPr>
          <w:strike/>
        </w:rPr>
        <w:t xml:space="preserve">twenty-fifth</w:t>
      </w:r>
      <w:r>
        <w:t>))</w:t>
      </w:r>
      <w:r>
        <w:rPr/>
        <w:t xml:space="preserve"> </w:t>
      </w:r>
      <w:r>
        <w:rPr>
          <w:u w:val="single"/>
        </w:rPr>
        <w:t xml:space="preserve">25th</w:t>
      </w:r>
      <w:r>
        <w:rPr/>
        <w:t xml:space="preserve"> birthday and who is placed in a facility operated by the department of children, youth, and families under this section, unless the person qualifies for partial confinement under RCW 72.01.412, and must approve any leave from the facility. When the person turns age </w:t>
      </w:r>
      <w:r>
        <w:t>((</w:t>
      </w:r>
      <w:r>
        <w:rPr>
          <w:strike/>
        </w:rPr>
        <w:t xml:space="preserve">twenty-five</w:t>
      </w:r>
      <w:r>
        <w:t>))</w:t>
      </w:r>
      <w:r>
        <w:rPr/>
        <w:t xml:space="preserve"> </w:t>
      </w:r>
      <w:r>
        <w:rPr>
          <w:u w:val="single"/>
        </w:rPr>
        <w:t xml:space="preserve">25</w:t>
      </w:r>
      <w:r>
        <w:rPr/>
        <w:t xml:space="preser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w:t>
      </w:r>
      <w:r>
        <w:t>((</w:t>
      </w:r>
      <w:r>
        <w:rPr>
          <w:strike/>
        </w:rPr>
        <w:t xml:space="preserve">eighteen</w:t>
      </w:r>
      <w:r>
        <w:t>))</w:t>
      </w:r>
      <w:r>
        <w:rPr/>
        <w:t xml:space="preserve"> </w:t>
      </w:r>
      <w:r>
        <w:rPr>
          <w:u w:val="single"/>
        </w:rPr>
        <w:t xml:space="preserve">18</w:t>
      </w:r>
      <w:r>
        <w:rPr/>
        <w:t xml:space="preserve"> who is transferred to the custody of the department of corrections must be placed in a housing unit, or a portion of a housing unit, that is separated from other persons in custody who are </w:t>
      </w:r>
      <w:r>
        <w:t>((</w:t>
      </w:r>
      <w:r>
        <w:rPr>
          <w:strike/>
        </w:rPr>
        <w:t xml:space="preserve">eighteen</w:t>
      </w:r>
      <w:r>
        <w:t>))</w:t>
      </w:r>
      <w:r>
        <w:rPr/>
        <w:t xml:space="preserve"> </w:t>
      </w:r>
      <w:r>
        <w:rPr>
          <w:u w:val="single"/>
        </w:rPr>
        <w:t xml:space="preserve">18</w:t>
      </w:r>
      <w:r>
        <w:rPr/>
        <w:t xml:space="preserve"> years of age or older,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(b) A person who is transferred to the custody of the department of corrections and reaches </w:t>
      </w:r>
      <w:r>
        <w:t>((</w:t>
      </w:r>
      <w:r>
        <w:rPr>
          <w:strike/>
        </w:rPr>
        <w:t xml:space="preserve">eighteen</w:t>
      </w:r>
      <w:r>
        <w:t>))</w:t>
      </w:r>
      <w:r>
        <w:rPr/>
        <w:t xml:space="preserve"> </w:t>
      </w:r>
      <w:r>
        <w:rPr>
          <w:u w:val="single"/>
        </w:rPr>
        <w:t xml:space="preserve">18</w:t>
      </w:r>
      <w:r>
        <w:rPr/>
        <w:t xml:space="preserve"> years of age may remain in a housing unit for persons under the age of </w:t>
      </w:r>
      <w:r>
        <w:t>((</w:t>
      </w:r>
      <w:r>
        <w:rPr>
          <w:strike/>
        </w:rPr>
        <w:t xml:space="preserve">eighteen</w:t>
      </w:r>
      <w:r>
        <w:t>))</w:t>
      </w:r>
      <w:r>
        <w:rPr/>
        <w:t xml:space="preserve"> </w:t>
      </w:r>
      <w:r>
        <w:rPr>
          <w:u w:val="single"/>
        </w:rPr>
        <w:t xml:space="preserve">18</w:t>
      </w:r>
      <w:r>
        <w:rPr/>
        <w:t xml:space="preserve"> if the secretary of corrections determines that: (i) The person's needs and the rehabilitation goals for the person could continue to be better met by the programs and housing environment that is separate from other persons in custody who are </w:t>
      </w:r>
      <w:r>
        <w:t>((</w:t>
      </w:r>
      <w:r>
        <w:rPr>
          <w:strike/>
        </w:rPr>
        <w:t xml:space="preserve">eighteen</w:t>
      </w:r>
      <w:r>
        <w:t>))</w:t>
      </w:r>
      <w:r>
        <w:rPr/>
        <w:t xml:space="preserve"> </w:t>
      </w:r>
      <w:r>
        <w:rPr>
          <w:u w:val="single"/>
        </w:rPr>
        <w:t xml:space="preserve">18</w:t>
      </w:r>
      <w:r>
        <w:rPr/>
        <w:t xml:space="preserve"> years of age and older; and (ii) the programs or housing environment for persons under the age of </w:t>
      </w:r>
      <w:r>
        <w:t>((</w:t>
      </w:r>
      <w:r>
        <w:rPr>
          <w:strike/>
        </w:rPr>
        <w:t xml:space="preserve">eighteen</w:t>
      </w:r>
      <w:r>
        <w:t>))</w:t>
      </w:r>
      <w:r>
        <w:rPr/>
        <w:t xml:space="preserve"> </w:t>
      </w:r>
      <w:r>
        <w:rPr>
          <w:u w:val="single"/>
        </w:rPr>
        <w:t xml:space="preserve">18</w:t>
      </w:r>
      <w:r>
        <w:rPr/>
        <w:t xml:space="preserve"> will not be substantially affected by the continued placement of the person in that environment. The person may remain placed in a housing unit for persons under the age of </w:t>
      </w:r>
      <w:r>
        <w:t>((</w:t>
      </w:r>
      <w:r>
        <w:rPr>
          <w:strike/>
        </w:rPr>
        <w:t xml:space="preserve">eighteen</w:t>
      </w:r>
      <w:r>
        <w:t>))</w:t>
      </w:r>
      <w:r>
        <w:rPr/>
        <w:t xml:space="preserve"> </w:t>
      </w:r>
      <w:r>
        <w:rPr>
          <w:u w:val="single"/>
        </w:rPr>
        <w:t xml:space="preserve">18</w:t>
      </w:r>
      <w:r>
        <w:rPr/>
        <w:t xml:space="preserve"> until such time as the secretary of corrections determines that the person's needs and goals are no longer better met in that environment but in no case past the person's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rPr/>
        <w:t xml:space="preserve">(c) A person transferred to the custody of the department of corrections who is under the age of </w:t>
      </w:r>
      <w:r>
        <w:t>((</w:t>
      </w:r>
      <w:r>
        <w:rPr>
          <w:strike/>
        </w:rPr>
        <w:t xml:space="preserve">eighteen</w:t>
      </w:r>
      <w:r>
        <w:t>))</w:t>
      </w:r>
      <w:r>
        <w:rPr/>
        <w:t xml:space="preserve"> </w:t>
      </w:r>
      <w:r>
        <w:rPr>
          <w:u w:val="single"/>
        </w:rPr>
        <w:t xml:space="preserve">18</w:t>
      </w:r>
      <w:r>
        <w:rPr/>
        <w:t xml:space="preserve"> may be housed in an intensive management unit or administrative segregation unit containing offenders </w:t>
      </w:r>
      <w:r>
        <w:t>((</w:t>
      </w:r>
      <w:r>
        <w:rPr>
          <w:strike/>
        </w:rPr>
        <w:t xml:space="preserve">eighteen</w:t>
      </w:r>
      <w:r>
        <w:t>))</w:t>
      </w:r>
      <w:r>
        <w:rPr/>
        <w:t xml:space="preserve"> </w:t>
      </w:r>
      <w:r>
        <w:rPr>
          <w:u w:val="single"/>
        </w:rPr>
        <w:t xml:space="preserve">18</w:t>
      </w:r>
      <w:r>
        <w:rPr/>
        <w:t xml:space="preserve">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w:t>
      </w:r>
      <w:r>
        <w:t>((</w:t>
      </w:r>
      <w:r>
        <w:rPr>
          <w:strike/>
        </w:rPr>
        <w:t xml:space="preserve">twenty-one</w:t>
      </w:r>
      <w:r>
        <w:t>))</w:t>
      </w:r>
      <w:r>
        <w:rPr/>
        <w:t xml:space="preserve"> </w:t>
      </w:r>
      <w:r>
        <w:rPr>
          <w:u w:val="single"/>
        </w:rPr>
        <w:t xml:space="preserve">21</w:t>
      </w:r>
      <w:r>
        <w:rPr/>
        <w:t xml:space="preserv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w:t>
      </w:r>
      <w:r>
        <w:t>((</w:t>
      </w:r>
      <w:r>
        <w:rPr>
          <w:strike/>
        </w:rPr>
        <w:t xml:space="preserve">twenty-three</w:t>
      </w:r>
      <w:r>
        <w:t>))</w:t>
      </w:r>
      <w:r>
        <w:rPr/>
        <w:t xml:space="preserve"> </w:t>
      </w:r>
      <w:r>
        <w:rPr>
          <w:u w:val="single"/>
        </w:rPr>
        <w:t xml:space="preserve">23</w:t>
      </w:r>
      <w:r>
        <w:rPr/>
        <w:t xml:space="preserve"> if the person's commitment period in a juvenile institution extends beyond the person's </w:t>
      </w:r>
      <w:r>
        <w:t>((</w:t>
      </w:r>
      <w:r>
        <w:rPr>
          <w:strike/>
        </w:rPr>
        <w:t xml:space="preserve">twenty-third</w:t>
      </w:r>
      <w:r>
        <w:t>))</w:t>
      </w:r>
      <w:r>
        <w:rPr/>
        <w:t xml:space="preserve"> </w:t>
      </w:r>
      <w:r>
        <w:rPr>
          <w:u w:val="single"/>
        </w:rPr>
        <w:t xml:space="preserve">23rd</w:t>
      </w:r>
      <w:r>
        <w:rPr/>
        <w:t xml:space="preserve">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any offender who is currently serving a sentence imposed prior to the effective date of this section involving multiple, consecutive firearm or deadly weapon enhancements under RCW 9.94A.533, either the offender or the applicable county prosecuting attorney may petition the sentencing court for resentencing on the basis that the consecutive enhancements no longer advance the interests of justice.</w:t>
      </w:r>
    </w:p>
    <w:p>
      <w:pPr>
        <w:spacing w:before="0" w:after="0" w:line="408" w:lineRule="exact"/>
        <w:ind w:left="0" w:right="0" w:firstLine="576"/>
        <w:jc w:val="left"/>
      </w:pPr>
      <w:r>
        <w:rPr/>
        <w:t xml:space="preserve">(2) The sentencing court may grant or deny a petition under this section. If the court grants a petition, the court shall resentence the offender in the same manner as if the offender had not previously been sentenced, except: The court may, in its discretion, order the firearm or deadly weapon enhancements to be served concurrently, regardless of the date of the offense; and the new sentence, if any, may not be greater than the initial sentence.</w:t>
      </w:r>
    </w:p>
    <w:p>
      <w:pPr>
        <w:spacing w:before="0" w:after="0" w:line="408" w:lineRule="exact"/>
        <w:ind w:left="0" w:right="0" w:firstLine="576"/>
        <w:jc w:val="left"/>
      </w:pPr>
      <w:r>
        <w:rPr/>
        <w:t xml:space="preserve">(3) If a resentencing hearing is scheduled pursuant to this section, the prosecuting attorney shall make reasonable efforts to notify victims and survivors of victims of the petition and the date of hearing. The prosecuting attorney shall provide victims and survivors of victims access to available victim advocates and other related services. The court shall provide an opportunity for victims and survivors of victims of any crimes for which the offender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(4) A resentencing under this section does not reopen a qualifying offender's conviction to challenges that would otherwise be barred.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833</w:t>
      </w:r>
      <w:r>
        <w:rPr/>
        <w:t xml:space="preserve"> (Special allegation</w:t>
      </w:r>
      <w:r>
        <w:rPr>
          <w:rFonts w:ascii="Times New Roman" w:hAnsi="Times New Roman"/>
        </w:rPr>
        <w:t xml:space="preserve">—</w:t>
      </w:r>
      <w:r>
        <w:rPr/>
        <w:t xml:space="preserve">Involving minor in felony offense</w:t>
      </w:r>
      <w:r>
        <w:rPr>
          <w:rFonts w:ascii="Times New Roman" w:hAnsi="Times New Roman"/>
        </w:rPr>
        <w:t xml:space="preserve">—</w:t>
      </w:r>
      <w:r>
        <w:rPr/>
        <w:t xml:space="preserve">Procedures) and 2008 c 276 s 302; and</w:t>
      </w:r>
    </w:p>
    <w:p>
      <w:pPr>
        <w:spacing w:before="0" w:after="0" w:line="408" w:lineRule="exact"/>
        <w:ind w:left="0" w:right="0" w:firstLine="576"/>
        <w:jc w:val="left"/>
      </w:pPr>
      <w:r>
        <w:t>(2)</w:t>
      </w:r>
      <w:r>
        <w:rPr/>
        <w:t xml:space="preserve">RCW </w:t>
      </w:r>
      <w:r>
        <w:t xml:space="preserve">69</w:t>
      </w:r>
      <w:r>
        <w:rPr/>
        <w:t xml:space="preserve">.</w:t>
      </w:r>
      <w:r>
        <w:t xml:space="preserve">50</w:t>
      </w:r>
      <w:r>
        <w:rPr/>
        <w:t xml:space="preserve">.</w:t>
      </w:r>
      <w:r>
        <w:t xml:space="preserve">435</w:t>
      </w:r>
      <w:r>
        <w:rPr/>
        <w:t xml:space="preserve"> (Violations committed in or on certain public places or facilities</w:t>
      </w:r>
      <w:r>
        <w:rPr>
          <w:rFonts w:ascii="Times New Roman" w:hAnsi="Times New Roman"/>
        </w:rPr>
        <w:t xml:space="preserve">—</w:t>
      </w:r>
      <w:r>
        <w:rPr/>
        <w:t xml:space="preserve">Additional penalty</w:t>
      </w:r>
      <w:r>
        <w:rPr>
          <w:rFonts w:ascii="Times New Roman" w:hAnsi="Times New Roman"/>
        </w:rPr>
        <w:t xml:space="preserve">—</w:t>
      </w:r>
      <w:r>
        <w:rPr/>
        <w:t xml:space="preserve">Defenses</w:t>
      </w:r>
      <w:r>
        <w:rPr>
          <w:rFonts w:ascii="Times New Roman" w:hAnsi="Times New Roman"/>
        </w:rPr>
        <w:t xml:space="preserve">—</w:t>
      </w:r>
      <w:r>
        <w:rPr/>
        <w:t xml:space="preserve">Construction</w:t>
      </w:r>
      <w:r>
        <w:rPr>
          <w:rFonts w:ascii="Times New Roman" w:hAnsi="Times New Roman"/>
        </w:rPr>
        <w:t xml:space="preserve">—</w:t>
      </w:r>
      <w:r>
        <w:rPr/>
        <w:t xml:space="preserve">Definitions) and 2015 c 265 s 37 &amp; 2003 c 53 s 346.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earned early release for sentencing enhancements under sections 3 and 5 of this act apply retroactively to offenders currently serving a sentence in any facility or institution either operated by the state or utilized under contract. Pursuant to RCW 9.94A.729, the department of corrections shall recalculate the earned release date for any qualifying offender, regardless of the date of sentencing or date of offense. For offenders whose offense was committed prior to the effective date of this section, the recalculation shall not extend a term of incarceration beyond that to which an offender is currently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section 10 of this act does not create any liberty interest. The department of corrections' recalculations of earned release time do not create any expectation that the percentage of earned release time will be revised before the effective date of this section, and offenders have no reason to conclude that the maximum percentage of earned release time is an entitlement. The department of corrections has discretion to implement the retroactive changes to earned early release for qualifying offenders over a period of time not to exceed 12 months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a9ccee9702994e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e168961f44bba" /><Relationship Type="http://schemas.openxmlformats.org/officeDocument/2006/relationships/footer" Target="/word/footer1.xml" Id="Ra9ccee9702994e04" /></Relationships>
</file>