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6bb73588f4569" /></Relationships>
</file>

<file path=word/document.xml><?xml version="1.0" encoding="utf-8"?>
<w:document xmlns:w="http://schemas.openxmlformats.org/wordprocessingml/2006/main">
  <w:body>
    <w:p>
      <w:r>
        <w:t>H-1060.1</w:t>
      </w:r>
    </w:p>
    <w:p>
      <w:pPr>
        <w:jc w:val="center"/>
      </w:pPr>
      <w:r>
        <w:t>_______________________________________________</w:t>
      </w:r>
    </w:p>
    <w:p/>
    <w:p>
      <w:pPr>
        <w:jc w:val="center"/>
      </w:pPr>
      <w:r>
        <w:rPr>
          <w:b/>
        </w:rPr>
        <w:t>SECOND SUBSTITUTE HOUSE BILL 1220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Peterson, Macri, Bateman, Ryu, Lekanoff, Fitzgibbon, Kloba, Davis, Lovick, Santos, Ortiz-Self, Simmons, Berg, Hackney, Chopp, Tharinger, and Frame)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emergency shelters and housing through local planning and development regulations; amending RCW 36.70A.020 and 36.70A.030; reenacting and amending RCW 36.70A.070; adding a new section to chapter 35A.21 RCW; adding a new section to chapter 35.21 RCW;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 </w:t>
      </w:r>
      <w:r>
        <w:rPr>
          <w:u w:val="single"/>
        </w:rPr>
        <w:t xml:space="preserve">and moderate density housing options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land </w:t>
      </w:r>
      <w:r>
        <w:rPr>
          <w:u w:val="single"/>
        </w:rPr>
        <w:t xml:space="preserve">and zoning capacities</w:t>
      </w:r>
      <w:r>
        <w:rPr/>
        <w:t xml:space="preserve"> for housing,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and permanent supportive housing</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state and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prohibit emergency housing, permanent supportive housing, or indoor emergency shelters in multifamily, commercial, mixed use, or form-based zones where short-term rentals are allowed. This requirement does not preclude a code city from implementing regulations to mitigate neighborhood or community impacts of specific facility types. A code city may allow indoor emergency housing, permanent supportive housing, or indoor emergency shelters in other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emergency housing, permanent supportive housing, or indoor emergency shelters in multifamily, commercial, mixed use, or form-based zones where short-term rentals are allowed. This requirement does not preclude a city from implementing regulations to mitigate neighborhood or community impacts of specific facility types. A city may allow indoor emergency housing, permanent supportive housing, or indoor emergency shelters in other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not require installation of a new or separate utility connection between an accessory dwelling unit and a utility unless unusual site conditions make it unavoidable, and if such connection is necessary, the connection fees of capacity charges must be consistent with water availability requirements, water system plans, small water system management plans, or established policies adopted by the water or sewer utility provider.</w:t>
      </w:r>
    </w:p>
    <w:p/>
    <w:p>
      <w:pPr>
        <w:jc w:val="center"/>
      </w:pPr>
      <w:r>
        <w:rPr>
          <w:b/>
        </w:rPr>
        <w:t>--- END ---</w:t>
      </w:r>
    </w:p>
    <w:sectPr>
      <w:pgNumType w:start="1"/>
      <w:footerReference xmlns:r="http://schemas.openxmlformats.org/officeDocument/2006/relationships" r:id="R6ce11d2d97f9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d158a30e14824" /><Relationship Type="http://schemas.openxmlformats.org/officeDocument/2006/relationships/footer" Target="/word/footer1.xml" Id="R6ce11d2d97f94ebe" /></Relationships>
</file>