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bf30b7f284169" /></Relationships>
</file>

<file path=word/document.xml><?xml version="1.0" encoding="utf-8"?>
<w:document xmlns:w="http://schemas.openxmlformats.org/wordprocessingml/2006/main">
  <w:body>
    <w:p>
      <w:r>
        <w:t>H-0124.3</w:t>
      </w:r>
    </w:p>
    <w:p>
      <w:pPr>
        <w:jc w:val="center"/>
      </w:pPr>
      <w:r>
        <w:t>_______________________________________________</w:t>
      </w:r>
    </w:p>
    <w:p/>
    <w:p>
      <w:pPr>
        <w:jc w:val="center"/>
      </w:pPr>
      <w:r>
        <w:rPr>
          <w:b/>
        </w:rPr>
        <w:t>HOUSE BILL 1236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Macri, Taylor, Dolan, Gregerson, Berry, Fitzgibbon, Frame, Simmons, Ramel, Bateman, J. Johnson, Hackney, Chopp, Thai, Peterson, Santos, Orwall, Ortiz-Self, Ryu, Wicks, Lekanoff, Slatter, Berg, Senn, Harris-Talley, Ormsby, and Pollet</w:t>
      </w:r>
    </w:p>
    <w:p/>
    <w:p>
      <w:r>
        <w:rPr>
          <w:t xml:space="preserve">Read first time 01/18/21.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residential tenants from the beginning to end of their tenancies by penalizing the inclusion of unlawful lease provisions and limiting the reasons for eviction, refusal to continue, and termination; amending RCW 59.18.220 and 59.12.030; reenacting and amending RCW 59.18.030, 59.18.200, and 59.18.230;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insured, financed, or assisted in whole or in part through one of the following sources:</w:t>
      </w:r>
    </w:p>
    <w:p>
      <w:pPr>
        <w:spacing w:before="0" w:after="0" w:line="408" w:lineRule="exact"/>
        <w:ind w:left="0" w:right="0" w:firstLine="576"/>
        <w:jc w:val="left"/>
      </w:pPr>
      <w:r>
        <w:rPr>
          <w:u w:val="single"/>
        </w:rPr>
        <w:t xml:space="preserve">(a) A federal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by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the tenancy, or terminate a periodic tenancy except for the causes enumerated in subsection (2) of this section.</w:t>
      </w:r>
    </w:p>
    <w:p>
      <w:pPr>
        <w:spacing w:before="0" w:after="0" w:line="408" w:lineRule="exact"/>
        <w:ind w:left="0" w:right="0" w:firstLine="576"/>
        <w:jc w:val="left"/>
      </w:pPr>
      <w:r>
        <w:rPr/>
        <w:t xml:space="preserve">(b) Where the initial term of the tenancy is for a fixed term of one year, the tenancy may be terminated at the end of the first year of the tenancy upon 60 days' prior written notice, served in a manner consistent with RCW 59.12.040. If a landlord does not give 60 days' notice as provided in this subsection, the tenancy becomes a monthly periodic tenancy until further agreement of the landlord and tenant.</w:t>
      </w:r>
    </w:p>
    <w:p>
      <w:pPr>
        <w:spacing w:before="0" w:after="0" w:line="408" w:lineRule="exact"/>
        <w:ind w:left="0" w:right="0" w:firstLine="576"/>
        <w:jc w:val="left"/>
      </w:pPr>
      <w:r>
        <w:rPr/>
        <w:t xml:space="preserve">(2) The following reasons listed in this subsection, and no others, constitute cause:</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 If the rental debt is due to COVID-19 hardship, the landlord shall have offered a repayment plan based on the tenant's individual finances, health, and other circumstances prior to proceeding with any eviction. If a tenant fails to accept the terms of a reasonable repayment plan within 14 days of the landlord's offer or defaults on any rent owed under a repayment plan, the landlord may proceed with an unlawful detainer action as set forth in RCW 59.12.030(3). The court shall consider the tenant's circumstances and the repayment plan terms offered during any unlawful detainer proceeding;</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10 days after service of the notice;</w:t>
      </w:r>
    </w:p>
    <w:p>
      <w:pPr>
        <w:spacing w:before="0" w:after="0" w:line="408" w:lineRule="exact"/>
        <w:ind w:left="0" w:right="0" w:firstLine="576"/>
        <w:jc w:val="left"/>
      </w:pPr>
      <w:r>
        <w:rPr/>
        <w:t xml:space="preserve">(c) The tenant continues in possession after having received at least three days'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landlord elects to sell a single family residence and the landlord has given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in a newspaper of general circulation.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in a newspaper of general circulation,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rents the unit to someone other than the former tenant, or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served 30 days' advance written notice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30 days' advance written notice, the landlord shall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 20-day notice to quit or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 30-day notice to vacate in advance of the expiration of the program, the tenant has aged out of the program, or the tenant has completed an educational or training or service program and is no longer eligible to participate. Nothing in this subsection (2)(j)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(k)(i) The tenant continues in possession after having received a 30-day notice to quit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 Except as provided in (k)(ii) of this subsection, the 30-day notice must be served on the tenant within the first 60 days of the initiation of the tenancy;</w:t>
      </w:r>
    </w:p>
    <w:p>
      <w:pPr>
        <w:spacing w:before="0" w:after="0" w:line="408" w:lineRule="exact"/>
        <w:ind w:left="0" w:right="0" w:firstLine="576"/>
        <w:jc w:val="left"/>
      </w:pPr>
      <w:r>
        <w:rPr/>
        <w:t xml:space="preserve">(ii) The landlord may seek termination under this subsection (2)(k) at any time during the tenancy if the misrepresentation makes the tenant ineligible for subsidized housing as defined in this chapter.</w:t>
      </w:r>
    </w:p>
    <w:p>
      <w:pPr>
        <w:spacing w:before="0" w:after="0" w:line="408" w:lineRule="exact"/>
        <w:ind w:left="0" w:right="0" w:firstLine="576"/>
        <w:jc w:val="left"/>
      </w:pPr>
      <w:r>
        <w:rPr/>
        <w:t xml:space="preserve">(3)(a) Where a tenant has permanently vacated due to voluntary or involuntary events, other than by termination by the landlord, any remaining occupants who had coresided with the tenant prior to and up to the time the tenant permanently vacated must immediately apply or reapply as a prospective tenant in order to continue to reside in the dwelling unit and must meet the same screening, background, and financial criteria as would any other prospective tenant. In the event that the occupant fails to immediately apply or the application is denied for failure to meet the criteria, the landlord may commence an unlawful detainer action under this chapter.</w:t>
      </w:r>
    </w:p>
    <w:p>
      <w:pPr>
        <w:spacing w:before="0" w:after="0" w:line="408" w:lineRule="exact"/>
        <w:ind w:left="0" w:right="0" w:firstLine="576"/>
        <w:jc w:val="left"/>
      </w:pPr>
      <w:r>
        <w:rPr/>
        <w:t xml:space="preserve">(b) This subsection (3)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four and one-half times the monthly rent of the dwelling at issue, and reasonable attorneys' fees and costs.</w:t>
      </w:r>
    </w:p>
    <w:p>
      <w:pPr>
        <w:spacing w:before="0" w:after="0" w:line="408" w:lineRule="exact"/>
        <w:ind w:left="0" w:right="0" w:firstLine="576"/>
        <w:jc w:val="left"/>
      </w:pPr>
      <w:r>
        <w:rPr/>
        <w:t xml:space="preserve">(5) Nothing in subsection (2)(d), (e), or (f) of this section permits a landlord to terminate a fixed term tenancy before the completion of the term unless the landlord and the tenant mutually consent, in writing, to early termination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that support the cause or causes with enough specificity so as to enable the tenant to respond and prepare a defense. With respect to any incidents alleged, and to the extent this information is known and available to the landlord at the time of the issuance of the notice, a notice must reasonably identify the facts and circumstances the landlord will rely upon to establish the cause or causes specified in the notice. The landlord shall be allowed to present additional facts and circumstances regarding the allegations within the notice where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party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t>((</w:t>
      </w:r>
      <w:r>
        <w:rPr>
          <w:strike/>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strike/>
        </w:rPr>
        <w:t xml:space="preserve">(2)</w:t>
      </w:r>
      <w:r>
        <w:t>))</w:t>
      </w:r>
      <w:r>
        <w:rPr/>
        <w:t xml:space="preserve">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service member is prematurely or involuntarily discharged or released from active duty;</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After entering into a rental agreement, the commanding officer directs the service member to move into government provided housing;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1bb664034349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a3253f4264c3e" /><Relationship Type="http://schemas.openxmlformats.org/officeDocument/2006/relationships/footer" Target="/word/footer1.xml" Id="R501bb66403434978" /></Relationships>
</file>